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HII (Huntington Ingalls Industries) before writing the preview. Let me gather recent filings, transcripts, and news.Let me read the most recent earnings call transcript and release, plus get the stock price history and recent broader news.Let me check the stock price performance and search for recent news on the key catalyst — the submarine contract awards expected in Q2.Let me check for news on whether the key submarine contracts were awarded, which is central to the Q2 story.I have enough to write the preview. Here it is.</w:t>
      </w:r>
    </w:p>
    <w:p>
      <w:r>
        <w:pict>
          <v:rect style="width:0;height:1.5pt" o:hralign="center" o:hrstd="t" o:hr="t"/>
        </w:pict>
      </w:r>
    </w:p>
    <w:bookmarkStart w:id="20" w:name="X311b1215915b9998fc17158b01fd267c9ca69cc"/>
    <w:p>
      <w:pPr>
        <w:pStyle w:val="Heading1"/>
      </w:pPr>
      <w:r>
        <w:t xml:space="preserve">HII (Huntington Ingalls Industries) — Q2 FY2026 Earnings Preview</w:t>
      </w:r>
    </w:p>
    <w:bookmarkStart w:id="9" w:name="X9cf9cc175564c1d0a1f95d888259cb2b24b73ec"/>
    <w:p>
      <w:pPr>
        <w:pStyle w:val="Heading3"/>
      </w:pPr>
      <w:r>
        <w:t xml:space="preserve">Report expected before market open, Thursday, July 30, 2026 | Call at 9:00 a.m. ET</w:t>
      </w:r>
    </w:p>
    <w:bookmarkEnd w:id="9"/>
    <w:bookmarkStart w:id="10" w:name="the-one-line-setup"/>
    <w:p>
      <w:pPr>
        <w:pStyle w:val="Heading2"/>
      </w:pPr>
      <w:r>
        <w:t xml:space="preserve">The one-line setup</w:t>
      </w:r>
    </w:p>
    <w:p>
      <w:pPr>
        <w:pStyle w:val="FirstParagraph"/>
      </w:pPr>
      <w:r>
        <w:t xml:space="preserve">HII goes into this print as a structural-demand story that has hit an execution and valuation air pocket. Shipbuilding revenue has been compounding at double digits for four straight quarters, but margins remain depressed, free cash flow is heavily back-half loaded, and the single most important near-term catalyst — the next big block of nuclear submarine contracts — has been slipping. This quarter is largely about whether those awards finally land and whether management gets confident enough to raise the full-year revenue guide.</w:t>
      </w:r>
    </w:p>
    <w:p>
      <w:r>
        <w:pict>
          <v:rect style="width:0;height:1.5pt" o:hralign="center" o:hrstd="t" o:hr="t"/>
        </w:pict>
      </w:r>
    </w:p>
    <w:bookmarkEnd w:id="10"/>
    <w:bookmarkStart w:id="11" w:name="Xdc58dfc5c51359bcc72d3364a5bb73a8525ed75"/>
    <w:p>
      <w:pPr>
        <w:pStyle w:val="Heading2"/>
      </w:pPr>
      <w:r>
        <w:t xml:space="preserve">1. What the numbers need to look like</w:t>
      </w:r>
    </w:p>
    <w:p>
      <w:pPr>
        <w:pStyle w:val="FirstParagraph"/>
      </w:pPr>
      <w:r>
        <w:rPr>
          <w:b/>
          <w:bCs/>
        </w:rPr>
        <w:t xml:space="preserve">Guidance management set for Q2 (on the May 5 call):</w:t>
      </w:r>
      <w:r>
        <w:t xml:space="preserve"> </w:t>
      </w:r>
      <w:r>
        <w:t xml:space="preserve">| Metric | Q2 FY26 Guide | Q2 FY25 Actual (comp) |</w:t>
      </w:r>
      <w:r>
        <w:t xml:space="preserve"> </w:t>
      </w:r>
      <w:r>
        <w:t xml:space="preserve">|---|---|---|</w:t>
      </w:r>
      <w:r>
        <w:t xml:space="preserve"> </w:t>
      </w:r>
      <w:r>
        <w:t xml:space="preserve">| Shipbuilding revenue | ~$2.4B |</w:t>
      </w:r>
      <w:r>
        <w:t xml:space="preserve"> </w:t>
      </w:r>
      <m:oMath>
        <m:r>
          <m:t>2.33</m:t>
        </m:r>
        <m:r>
          <m:t>B</m:t>
        </m:r>
        <m:r>
          <m:rPr>
            <m:sty m:val="p"/>
          </m:rPr>
          <m:t>|</m:t>
        </m:r>
        <m:r>
          <m:rPr>
            <m:sty m:val="p"/>
          </m:rPr>
          <m:t>|</m:t>
        </m:r>
        <m:r>
          <m:t>S</m:t>
        </m:r>
        <m:r>
          <m:t>h</m:t>
        </m:r>
        <m:r>
          <m:t>i</m:t>
        </m:r>
        <m:r>
          <m:t>p</m:t>
        </m:r>
        <m:r>
          <m:t>b</m:t>
        </m:r>
        <m:r>
          <m:t>u</m:t>
        </m:r>
        <m:r>
          <m:t>i</m:t>
        </m:r>
        <m:r>
          <m:t>l</m:t>
        </m:r>
        <m:r>
          <m:t>d</m:t>
        </m:r>
        <m:r>
          <m:t>i</m:t>
        </m:r>
        <m:r>
          <m:t>n</m:t>
        </m:r>
        <m:r>
          <m:t>g</m:t>
        </m:r>
        <m:r>
          <m:t>o</m:t>
        </m:r>
        <m:r>
          <m:t>p</m:t>
        </m:r>
        <m:r>
          <m:t>e</m:t>
        </m:r>
        <m:r>
          <m:t>r</m:t>
        </m:r>
        <m:r>
          <m:t>a</m:t>
        </m:r>
        <m:r>
          <m:t>t</m:t>
        </m:r>
        <m:r>
          <m:t>i</m:t>
        </m:r>
        <m:r>
          <m:t>n</m:t>
        </m:r>
        <m:r>
          <m:t>g</m:t>
        </m:r>
        <m:r>
          <m:t>m</m:t>
        </m:r>
        <m:r>
          <m:t>a</m:t>
        </m:r>
        <m:r>
          <m:t>r</m:t>
        </m:r>
        <m:r>
          <m:t>g</m:t>
        </m:r>
        <m:r>
          <m:t>i</m:t>
        </m:r>
        <m:r>
          <m:t>n</m:t>
        </m:r>
        <m:r>
          <m:rPr>
            <m:sty m:val="p"/>
          </m:rPr>
          <m:t>|</m:t>
        </m:r>
        <m:r>
          <m:t>5.7</m:t>
        </m:r>
        <m:r>
          <m:rPr>
            <m:sty m:val="p"/>
          </m:rPr>
          <m:t>|</m:t>
        </m:r>
        <m:r>
          <m:t>M</m:t>
        </m:r>
        <m:r>
          <m:t>i</m:t>
        </m:r>
        <m:r>
          <m:t>s</m:t>
        </m:r>
        <m:r>
          <m:t>s</m:t>
        </m:r>
        <m:r>
          <m:t>i</m:t>
        </m:r>
        <m:r>
          <m:t>o</m:t>
        </m:r>
        <m:r>
          <m:t>n</m:t>
        </m:r>
        <m:r>
          <m:t>T</m:t>
        </m:r>
        <m:r>
          <m:t>e</m:t>
        </m:r>
        <m:r>
          <m:t>c</m:t>
        </m:r>
        <m:r>
          <m:t>h</m:t>
        </m:r>
        <m:r>
          <m:t>n</m:t>
        </m:r>
        <m:r>
          <m:t>o</m:t>
        </m:r>
        <m:r>
          <m:t>l</m:t>
        </m:r>
        <m:r>
          <m:t>o</m:t>
        </m:r>
        <m:r>
          <m:t>g</m:t>
        </m:r>
        <m:r>
          <m:t>i</m:t>
        </m:r>
        <m:r>
          <m:t>e</m:t>
        </m:r>
        <m:r>
          <m:t>s</m:t>
        </m:r>
        <m:r>
          <m:t>r</m:t>
        </m:r>
        <m:r>
          <m:t>e</m:t>
        </m:r>
        <m:r>
          <m:t>v</m:t>
        </m:r>
        <m:r>
          <m:t>e</m:t>
        </m:r>
        <m:r>
          <m:t>n</m:t>
        </m:r>
        <m:r>
          <m:t>u</m:t>
        </m:r>
        <m:r>
          <m:t>e</m:t>
        </m:r>
        <m:r>
          <m:rPr>
            <m:sty m:val="p"/>
          </m:rPr>
          <m:t>|</m:t>
        </m:r>
        <m:r>
          <m:t> </m:t>
        </m:r>
      </m:oMath>
      <w:r>
        <w:t xml:space="preserve">750M |</w:t>
      </w:r>
      <w:r>
        <w:t xml:space="preserve"> </w:t>
      </w:r>
      <m:oMath>
        <m:r>
          <m:t>791</m:t>
        </m:r>
        <m:r>
          <m:t>M</m:t>
        </m:r>
        <m:r>
          <m:rPr>
            <m:sty m:val="p"/>
          </m:rPr>
          <m:t>|</m:t>
        </m:r>
        <m:r>
          <m:rPr>
            <m:sty m:val="p"/>
          </m:rPr>
          <m:t>|</m:t>
        </m:r>
        <m:r>
          <m:t>M</m:t>
        </m:r>
        <m:r>
          <m:t>i</m:t>
        </m:r>
        <m:r>
          <m:t>s</m:t>
        </m:r>
        <m:r>
          <m:t>s</m:t>
        </m:r>
        <m:r>
          <m:t>i</m:t>
        </m:r>
        <m:r>
          <m:t>o</m:t>
        </m:r>
        <m:r>
          <m:t>n</m:t>
        </m:r>
        <m:r>
          <m:t>T</m:t>
        </m:r>
        <m:r>
          <m:t>e</m:t>
        </m:r>
        <m:r>
          <m:t>c</m:t>
        </m:r>
        <m:r>
          <m:t>h</m:t>
        </m:r>
        <m:r>
          <m:t>n</m:t>
        </m:r>
        <m:r>
          <m:t>o</m:t>
        </m:r>
        <m:r>
          <m:t>l</m:t>
        </m:r>
        <m:r>
          <m:t>o</m:t>
        </m:r>
        <m:r>
          <m:t>g</m:t>
        </m:r>
        <m:r>
          <m:t>i</m:t>
        </m:r>
        <m:r>
          <m:t>e</m:t>
        </m:r>
        <m:r>
          <m:t>s</m:t>
        </m:r>
        <m:r>
          <m:t>m</m:t>
        </m:r>
        <m:r>
          <m:t>a</m:t>
        </m:r>
        <m:r>
          <m:t>r</m:t>
        </m:r>
        <m:r>
          <m:t>g</m:t>
        </m:r>
        <m:r>
          <m:t>i</m:t>
        </m:r>
        <m:r>
          <m:t>n</m:t>
        </m:r>
        <m:r>
          <m:rPr>
            <m:sty m:val="p"/>
          </m:rPr>
          <m:t>|</m:t>
        </m:r>
        <m:r>
          <m:t> </m:t>
        </m:r>
        <m:r>
          <m:t>4</m:t>
        </m:r>
        <m:r>
          <m:rPr>
            <m:sty m:val="p"/>
          </m:rPr>
          <m:t>|</m:t>
        </m:r>
        <m:r>
          <m:t>F</m:t>
        </m:r>
        <m:r>
          <m:t>r</m:t>
        </m:r>
        <m:r>
          <m:t>e</m:t>
        </m:r>
        <m:r>
          <m:t>e</m:t>
        </m:r>
        <m:r>
          <m:t>c</m:t>
        </m:r>
        <m:r>
          <m:t>a</m:t>
        </m:r>
        <m:r>
          <m:t>s</m:t>
        </m:r>
        <m:r>
          <m:t>h</m:t>
        </m:r>
        <m:r>
          <m:t>f</m:t>
        </m:r>
        <m:r>
          <m:t>l</m:t>
        </m:r>
        <m:r>
          <m:t>o</m:t>
        </m:r>
        <m:r>
          <m:t>w</m:t>
        </m:r>
        <m:r>
          <m:rPr>
            <m:sty m:val="p"/>
          </m:rPr>
          <m:t>|</m:t>
        </m:r>
        <m:r>
          <m:rPr>
            <m:sty m:val="p"/>
          </m:rPr>
          <m:t>–</m:t>
        </m:r>
      </m:oMath>
      <w:r>
        <w:t xml:space="preserve">100M to +</w:t>
      </w:r>
      <m:oMath>
        <m:r>
          <m:t>100</m:t>
        </m:r>
        <m:r>
          <m:t>M</m:t>
        </m:r>
        <m:r>
          <m:rPr>
            <m:sty m:val="p"/>
          </m:rPr>
          <m:t>|</m:t>
        </m:r>
        <m:r>
          <m:rPr>
            <m:sty m:val="p"/>
          </m:rPr>
          <m:t>*</m:t>
        </m:r>
        <m:r>
          <m:rPr>
            <m:sty m:val="p"/>
          </m:rPr>
          <m:t>*</m:t>
        </m:r>
        <m:r>
          <m:rPr>
            <m:sty m:val="p"/>
          </m:rPr>
          <m:t>+</m:t>
        </m:r>
      </m:oMath>
      <w:r>
        <w:t xml:space="preserve">730M** |</w:t>
      </w:r>
      <w:r>
        <w:t xml:space="preserve"> </w:t>
      </w:r>
      <w:r>
        <w:t xml:space="preserve">| Effective tax rate | ~21% (17% for FY) | ~21% |</w:t>
      </w:r>
    </w:p>
    <w:p>
      <w:pPr>
        <w:pStyle w:val="BodyText"/>
      </w:pPr>
      <w:r>
        <w:t xml:space="preserve">Two things jump out of that table:</w:t>
      </w:r>
    </w:p>
    <w:p>
      <w:pPr>
        <w:pStyle w:val="Compact"/>
        <w:numPr>
          <w:ilvl w:val="0"/>
          <w:numId w:val="1001"/>
        </w:numPr>
      </w:pPr>
      <w:r>
        <w:rPr>
          <w:b/>
          <w:bCs/>
        </w:rPr>
        <w:t xml:space="preserve">The free-cash-flow comparison is brutal on paper.</w:t>
      </w:r>
      <w:r>
        <w:t xml:space="preserve"> </w:t>
      </w:r>
      <w:r>
        <w:t xml:space="preserve">Last year's Q2 was a huge cash quarter (+</w:t>
      </w:r>
      <m:oMath>
        <m:r>
          <m:t>730</m:t>
        </m:r>
        <m:r>
          <m:t>M</m:t>
        </m:r>
        <m:r>
          <m:rPr>
            <m:sty m:val="p"/>
          </m:rPr>
          <m:t>)</m:t>
        </m:r>
        <m:r>
          <m:t>b</m:t>
        </m:r>
        <m:r>
          <m:t>e</m:t>
        </m:r>
        <m:r>
          <m:t>c</m:t>
        </m:r>
        <m:r>
          <m:t>a</m:t>
        </m:r>
        <m:r>
          <m:t>u</m:t>
        </m:r>
        <m:r>
          <m:t>s</m:t>
        </m:r>
        <m:r>
          <m:t>e</m:t>
        </m:r>
        <m:r>
          <m:t>i</m:t>
        </m:r>
        <m:r>
          <m:t>t</m:t>
        </m:r>
        <m:r>
          <m:t>c</m:t>
        </m:r>
        <m:r>
          <m:t>a</m:t>
        </m:r>
        <m:r>
          <m:t>p</m:t>
        </m:r>
        <m:r>
          <m:t>t</m:t>
        </m:r>
        <m:r>
          <m:t>u</m:t>
        </m:r>
        <m:r>
          <m:t>r</m:t>
        </m:r>
        <m:r>
          <m:t>e</m:t>
        </m:r>
        <m:r>
          <m:t>d</m:t>
        </m:r>
        <m:r>
          <m:t>t</m:t>
        </m:r>
        <m:r>
          <m:t>h</m:t>
        </m:r>
        <m:r>
          <m:t>e</m:t>
        </m:r>
        <m:r>
          <m:t>B</m:t>
        </m:r>
        <m:r>
          <m:t>l</m:t>
        </m:r>
        <m:r>
          <m:t>o</m:t>
        </m:r>
        <m:r>
          <m:t>c</m:t>
        </m:r>
        <m:r>
          <m:t>k</m:t>
        </m:r>
        <m:r>
          <m:t>V</m:t>
        </m:r>
        <m:r>
          <m:t>t</m:t>
        </m:r>
        <m:r>
          <m:t>w</m:t>
        </m:r>
        <m:r>
          <m:t>o</m:t>
        </m:r>
        <m:r>
          <m:rPr>
            <m:sty m:val="p"/>
          </m:rPr>
          <m:t>−</m:t>
        </m:r>
        <m:r>
          <m:t>s</m:t>
        </m:r>
        <m:r>
          <m:t>u</m:t>
        </m:r>
        <m:r>
          <m:t>b</m:t>
        </m:r>
        <m:r>
          <m:t>c</m:t>
        </m:r>
        <m:r>
          <m:t>o</m:t>
        </m:r>
        <m:r>
          <m:t>n</m:t>
        </m:r>
        <m:r>
          <m:t>t</m:t>
        </m:r>
        <m:r>
          <m:t>r</m:t>
        </m:r>
        <m:r>
          <m:t>a</m:t>
        </m:r>
        <m:r>
          <m:t>c</m:t>
        </m:r>
        <m:r>
          <m:t>t</m:t>
        </m:r>
        <m:r>
          <m:t>m</m:t>
        </m:r>
        <m:r>
          <m:t>o</m:t>
        </m:r>
        <m:r>
          <m:t>d</m:t>
        </m:r>
        <m:r>
          <m:t>i</m:t>
        </m:r>
        <m:r>
          <m:t>f</m:t>
        </m:r>
        <m:r>
          <m:t>i</m:t>
        </m:r>
        <m:r>
          <m:t>c</m:t>
        </m:r>
        <m:r>
          <m:t>a</m:t>
        </m:r>
        <m:r>
          <m:t>t</m:t>
        </m:r>
        <m:r>
          <m:t>i</m:t>
        </m:r>
        <m:r>
          <m:t>o</m:t>
        </m:r>
        <m:r>
          <m:t>n</m:t>
        </m:r>
        <m:r>
          <m:rPr>
            <m:sty m:val="p"/>
          </m:rPr>
          <m:t>.</m:t>
        </m:r>
        <m:r>
          <m:t>T</m:t>
        </m:r>
        <m:r>
          <m:t>h</m:t>
        </m:r>
        <m:r>
          <m:t>i</m:t>
        </m:r>
        <m:r>
          <m:t>s</m:t>
        </m:r>
        <m:r>
          <m:t>y</m:t>
        </m:r>
        <m:r>
          <m:t>e</m:t>
        </m:r>
        <m:r>
          <m:t>a</m:t>
        </m:r>
        <m:sSup>
          <m:e>
            <m:r>
              <m:t>r</m:t>
            </m:r>
          </m:e>
          <m:sup>
            <m:r>
              <m:rPr>
                <m:sty m:val="p"/>
              </m:rPr>
              <m:t>′</m:t>
            </m:r>
          </m:sup>
        </m:sSup>
        <m:r>
          <m:t>s</m:t>
        </m:r>
        <m:r>
          <m:t>Q</m:t>
        </m:r>
        <m:r>
          <m:t>2</m:t>
        </m:r>
        <m:r>
          <m:t>g</m:t>
        </m:r>
        <m:r>
          <m:t>u</m:t>
        </m:r>
        <m:r>
          <m:t>i</m:t>
        </m:r>
        <m:r>
          <m:t>d</m:t>
        </m:r>
        <m:r>
          <m:t>e</m:t>
        </m:r>
        <m:r>
          <m:t>i</m:t>
        </m:r>
        <m:r>
          <m:t>s</m:t>
        </m:r>
        <m:r>
          <m:t>r</m:t>
        </m:r>
        <m:r>
          <m:t>o</m:t>
        </m:r>
        <m:r>
          <m:t>u</m:t>
        </m:r>
        <m:r>
          <m:t>g</m:t>
        </m:r>
        <m:r>
          <m:t>h</m:t>
        </m:r>
        <m:r>
          <m:t>l</m:t>
        </m:r>
        <m:r>
          <m:t>y</m:t>
        </m:r>
        <m:r>
          <m:t>b</m:t>
        </m:r>
        <m:r>
          <m:t>r</m:t>
        </m:r>
        <m:r>
          <m:t>e</m:t>
        </m:r>
        <m:r>
          <m:t>a</m:t>
        </m:r>
        <m:r>
          <m:t>k</m:t>
        </m:r>
        <m:r>
          <m:rPr>
            <m:sty m:val="p"/>
          </m:rPr>
          <m:t>−</m:t>
        </m:r>
        <m:r>
          <m:t>e</m:t>
        </m:r>
        <m:r>
          <m:t>v</m:t>
        </m:r>
        <m:r>
          <m:t>e</m:t>
        </m:r>
        <m:r>
          <m:t>n</m:t>
        </m:r>
        <m:r>
          <m:rPr>
            <m:sty m:val="p"/>
          </m:rPr>
          <m:t>.</m:t>
        </m:r>
        <m:r>
          <m:t>S</m:t>
        </m:r>
        <m:r>
          <m:t>o</m:t>
        </m:r>
        <m:r>
          <m:t>e</m:t>
        </m:r>
        <m:r>
          <m:t>x</m:t>
        </m:r>
        <m:r>
          <m:t>p</m:t>
        </m:r>
        <m:r>
          <m:t>e</m:t>
        </m:r>
        <m:r>
          <m:t>c</m:t>
        </m:r>
        <m:r>
          <m:t>t</m:t>
        </m:r>
        <m:r>
          <m:t>a</m:t>
        </m:r>
        <m:r>
          <m:t>l</m:t>
        </m:r>
        <m:r>
          <m:t>a</m:t>
        </m:r>
        <m:r>
          <m:t>r</m:t>
        </m:r>
        <m:r>
          <m:t>g</m:t>
        </m:r>
        <m:r>
          <m:t>e</m:t>
        </m:r>
        <m:r>
          <m:rPr>
            <m:sty m:val="p"/>
          </m:rPr>
          <m:t>*</m:t>
        </m:r>
        <m:r>
          <m:t>r</m:t>
        </m:r>
        <m:r>
          <m:t>e</m:t>
        </m:r>
        <m:r>
          <m:t>p</m:t>
        </m:r>
        <m:r>
          <m:t>o</m:t>
        </m:r>
        <m:r>
          <m:t>r</m:t>
        </m:r>
        <m:r>
          <m:t>t</m:t>
        </m:r>
        <m:r>
          <m:t>e</m:t>
        </m:r>
        <m:r>
          <m:t>d</m:t>
        </m:r>
        <m:r>
          <m:rPr>
            <m:sty m:val="p"/>
          </m:rPr>
          <m:t>*</m:t>
        </m:r>
        <m:r>
          <m:t>y</m:t>
        </m:r>
        <m:r>
          <m:t>e</m:t>
        </m:r>
        <m:r>
          <m:t>a</m:t>
        </m:r>
        <m:r>
          <m:t>r</m:t>
        </m:r>
        <m:r>
          <m:rPr>
            <m:sty m:val="p"/>
          </m:rPr>
          <m:t>−</m:t>
        </m:r>
        <m:r>
          <m:t>o</m:t>
        </m:r>
        <m:r>
          <m:t>v</m:t>
        </m:r>
        <m:r>
          <m:t>e</m:t>
        </m:r>
        <m:r>
          <m:t>r</m:t>
        </m:r>
        <m:r>
          <m:rPr>
            <m:sty m:val="p"/>
          </m:rPr>
          <m:t>−</m:t>
        </m:r>
        <m:r>
          <m:t>y</m:t>
        </m:r>
        <m:r>
          <m:t>e</m:t>
        </m:r>
        <m:r>
          <m:t>a</m:t>
        </m:r>
        <m:r>
          <m:t>r</m:t>
        </m:r>
        <m:r>
          <m:t>F</m:t>
        </m:r>
        <m:r>
          <m:t>C</m:t>
        </m:r>
        <m:r>
          <m:t>F</m:t>
        </m:r>
        <m:r>
          <m:t>d</m:t>
        </m:r>
        <m:r>
          <m:t>e</m:t>
        </m:r>
        <m:r>
          <m:t>c</m:t>
        </m:r>
        <m:r>
          <m:t>l</m:t>
        </m:r>
        <m:r>
          <m:t>i</m:t>
        </m:r>
        <m:r>
          <m:t>n</m:t>
        </m:r>
        <m:r>
          <m:t>e</m:t>
        </m:r>
        <m:r>
          <m:t>i</m:t>
        </m:r>
        <m:r>
          <m:t>n</m:t>
        </m:r>
        <m:r>
          <m:t>Q</m:t>
        </m:r>
        <m:r>
          <m:t>2</m:t>
        </m:r>
        <m:r>
          <m:t>t</m:t>
        </m:r>
        <m:r>
          <m:t>h</m:t>
        </m:r>
        <m:r>
          <m:t>a</m:t>
        </m:r>
        <m:r>
          <m:t>t</m:t>
        </m:r>
        <m:r>
          <m:t>i</m:t>
        </m:r>
        <m:r>
          <m:t>s</m:t>
        </m:r>
        <m:r>
          <m:t>t</m:t>
        </m:r>
        <m:r>
          <m:t>i</m:t>
        </m:r>
        <m:r>
          <m:t>m</m:t>
        </m:r>
        <m:r>
          <m:t>i</m:t>
        </m:r>
        <m:r>
          <m:t>n</m:t>
        </m:r>
        <m:r>
          <m:t>g</m:t>
        </m:r>
        <m:r>
          <m:rPr>
            <m:sty m:val="p"/>
          </m:rPr>
          <m:t>−</m:t>
        </m:r>
        <m:r>
          <m:t>d</m:t>
        </m:r>
        <m:r>
          <m:t>r</m:t>
        </m:r>
        <m:r>
          <m:t>i</m:t>
        </m:r>
        <m:r>
          <m:t>v</m:t>
        </m:r>
        <m:r>
          <m:t>e</m:t>
        </m:r>
        <m:r>
          <m:t>n</m:t>
        </m:r>
        <m:r>
          <m:rPr>
            <m:sty m:val="p"/>
          </m:rPr>
          <m:t>,</m:t>
        </m:r>
        <m:r>
          <m:t>n</m:t>
        </m:r>
        <m:r>
          <m:t>o</m:t>
        </m:r>
        <m:r>
          <m:t>t</m:t>
        </m:r>
        <m:r>
          <m:t>f</m:t>
        </m:r>
        <m:r>
          <m:t>u</m:t>
        </m:r>
        <m:r>
          <m:t>n</m:t>
        </m:r>
        <m:r>
          <m:t>d</m:t>
        </m:r>
        <m:r>
          <m:t>a</m:t>
        </m:r>
        <m:r>
          <m:t>m</m:t>
        </m:r>
        <m:r>
          <m:t>e</m:t>
        </m:r>
        <m:r>
          <m:t>n</m:t>
        </m:r>
        <m:r>
          <m:t>t</m:t>
        </m:r>
        <m:r>
          <m:t>a</m:t>
        </m:r>
        <m:r>
          <m:t>l</m:t>
        </m:r>
        <m:r>
          <m:rPr>
            <m:sty m:val="p"/>
          </m:rPr>
          <m:t>—</m:t>
        </m:r>
        <m:r>
          <m:t>t</m:t>
        </m:r>
        <m:r>
          <m:t>h</m:t>
        </m:r>
        <m:r>
          <m:t>e</m:t>
        </m:r>
        <m:r>
          <m:t>r</m:t>
        </m:r>
        <m:r>
          <m:t>e</m:t>
        </m:r>
        <m:r>
          <m:t>a</m:t>
        </m:r>
        <m:r>
          <m:t>l</m:t>
        </m:r>
        <m:r>
          <m:t>c</m:t>
        </m:r>
        <m:r>
          <m:t>a</m:t>
        </m:r>
        <m:r>
          <m:t>s</m:t>
        </m:r>
        <m:r>
          <m:t>h</m:t>
        </m:r>
        <m:r>
          <m:t>s</m:t>
        </m:r>
        <m:r>
          <m:t>t</m:t>
        </m:r>
        <m:r>
          <m:t>o</m:t>
        </m:r>
        <m:r>
          <m:t>r</m:t>
        </m:r>
        <m:r>
          <m:t>y</m:t>
        </m:r>
        <m:r>
          <m:t>i</m:t>
        </m:r>
        <m:r>
          <m:t>s</m:t>
        </m:r>
        <m:r>
          <m:t>t</m:t>
        </m:r>
        <m:r>
          <m:t>h</m:t>
        </m:r>
        <m:r>
          <m:t>e</m:t>
        </m:r>
        <m:r>
          <m:t> </m:t>
        </m:r>
      </m:oMath>
      <w:r>
        <w:t xml:space="preserve">1B management still needs to generate in H2 to hit the full-year</w:t>
      </w:r>
      <w:r>
        <w:t xml:space="preserve"> </w:t>
      </w:r>
      <m:oMath>
        <m:r>
          <m:t>500</m:t>
        </m:r>
        <m:r>
          <m:rPr>
            <m:sty m:val="p"/>
          </m:rPr>
          <m:t>–</m:t>
        </m:r>
        <m:r>
          <m:t>600</m:t>
        </m:r>
        <m:r>
          <m:t>M</m:t>
        </m:r>
        <m:r>
          <m:t>t</m:t>
        </m:r>
        <m:r>
          <m:t>a</m:t>
        </m:r>
        <m:r>
          <m:t>r</m:t>
        </m:r>
        <m:r>
          <m:t>g</m:t>
        </m:r>
        <m:r>
          <m:t>e</m:t>
        </m:r>
        <m:r>
          <m:t>t</m:t>
        </m:r>
        <m:r>
          <m:rPr>
            <m:sty m:val="p"/>
          </m:rPr>
          <m:t>.</m:t>
        </m:r>
        <m:r>
          <m:t>Q</m:t>
        </m:r>
        <m:r>
          <m:t>1</m:t>
        </m:r>
        <m:r>
          <m:t>a</m:t>
        </m:r>
        <m:r>
          <m:t>l</m:t>
        </m:r>
        <m:r>
          <m:t>r</m:t>
        </m:r>
        <m:r>
          <m:t>e</m:t>
        </m:r>
        <m:r>
          <m:t>a</m:t>
        </m:r>
        <m:r>
          <m:t>d</m:t>
        </m:r>
        <m:r>
          <m:t>y</m:t>
        </m:r>
        <m:r>
          <m:t>r</m:t>
        </m:r>
        <m:r>
          <m:t>a</m:t>
        </m:r>
        <m:r>
          <m:t>n</m:t>
        </m:r>
        <m:r>
          <m:t>t</m:t>
        </m:r>
        <m:r>
          <m:t>o</m:t>
        </m:r>
        <m:r>
          <m:rPr>
            <m:sty m:val="p"/>
          </m:rPr>
          <m:t>–</m:t>
        </m:r>
      </m:oMath>
      <w:r>
        <w:t xml:space="preserve">461M (though that beat guidance on better collections).</w:t>
      </w:r>
    </w:p>
    <w:p>
      <w:pPr>
        <w:pStyle w:val="Compact"/>
        <w:numPr>
          <w:ilvl w:val="0"/>
          <w:numId w:val="1001"/>
        </w:numPr>
      </w:pPr>
      <w:r>
        <w:rPr>
          <w:b/>
          <w:bCs/>
        </w:rPr>
        <w:t xml:space="preserve">Q2 EPS will be compared against $3.86 a year ago.</w:t>
      </w:r>
      <w:r>
        <w:t xml:space="preserve"> </w:t>
      </w:r>
      <w:r>
        <w:t xml:space="preserve">Q1 FY26 came in at $3.79, flat year-over-year despite 13% revenue growth, because a higher tax rate and richer volume-but-lower-margin mix offset the top-line gain. With a 21% tax rate guided for Q2 (vs. the ~17% full-year assumption), the tax headwind persists this quarter, so don't expect EPS leverage yet.</w:t>
      </w:r>
    </w:p>
    <w:p>
      <w:pPr>
        <w:pStyle w:val="FirstParagraph"/>
      </w:pPr>
      <w:r>
        <w:rPr>
          <w:b/>
          <w:bCs/>
        </w:rPr>
        <w:t xml:space="preserve">Full-year FY26 framework to hold against:</w:t>
      </w:r>
      <w:r>
        <w:t xml:space="preserve"> </w:t>
      </w:r>
      <w:r>
        <w:t xml:space="preserve">shipbuilding revenue $9.7–9.9B; shipbuilding margin 5.5–6.5%; MT revenue $3.0–3.2B; FCF $500–600M; ~17% tax rate. Medium-term the company is guiding ~6% total and shipbuilding revenue growth.</w:t>
      </w:r>
    </w:p>
    <w:p>
      <w:r>
        <w:pict>
          <v:rect style="width:0;height:1.5pt" o:hralign="center" o:hrstd="t" o:hr="t"/>
        </w:pict>
      </w:r>
    </w:p>
    <w:bookmarkEnd w:id="11"/>
    <w:bookmarkStart w:id="15" w:name="X53399db06a4801be2c5a1f08952de81c482d3e5"/>
    <w:p>
      <w:pPr>
        <w:pStyle w:val="Heading2"/>
      </w:pPr>
      <w:r>
        <w:t xml:space="preserve">2. The three things that actually matter this quarter</w:t>
      </w:r>
    </w:p>
    <w:bookmarkStart w:id="12" w:name="X46f576e58dbedf9e60986d992e9d1c186eeb574"/>
    <w:p>
      <w:pPr>
        <w:pStyle w:val="Heading3"/>
      </w:pPr>
      <w:r>
        <w:t xml:space="preserve">A) The submarine contracts (the swing factor)</w:t>
      </w:r>
    </w:p>
    <w:p>
      <w:pPr>
        <w:pStyle w:val="FirstParagraph"/>
      </w:pPr>
      <w:r>
        <w:t xml:space="preserve">On the Q1 call management said awards for</w:t>
      </w:r>
      <w:r>
        <w:t xml:space="preserve"> </w:t>
      </w:r>
      <w:r>
        <w:rPr>
          <w:b/>
          <w:bCs/>
        </w:rPr>
        <w:t xml:space="preserve">Virginia-class Block VI and the next Columbia (Build II)</w:t>
      </w:r>
      <w:r>
        <w:t xml:space="preserve"> </w:t>
      </w:r>
      <w:r>
        <w:t xml:space="preserve">were expected "in the second quarter." These are the biggest catalysts here for three reasons:</w:t>
      </w:r>
    </w:p>
    <w:p>
      <w:pPr>
        <w:pStyle w:val="Compact"/>
        <w:numPr>
          <w:ilvl w:val="0"/>
          <w:numId w:val="1002"/>
        </w:numPr>
      </w:pPr>
      <w:r>
        <w:rPr>
          <w:b/>
          <w:bCs/>
        </w:rPr>
        <w:t xml:space="preserve">Cash</w:t>
      </w:r>
      <w:r>
        <w:t xml:space="preserve"> </w:t>
      </w:r>
      <w:r>
        <w:t xml:space="preserve">— last year's Block V mod is exactly what drove the +$730M Q2'25 cash quarter; a signed Block VI/Columbia deal could bring incentive and collection tailwinds.</w:t>
      </w:r>
    </w:p>
    <w:p>
      <w:pPr>
        <w:pStyle w:val="Compact"/>
        <w:numPr>
          <w:ilvl w:val="0"/>
          <w:numId w:val="1002"/>
        </w:numPr>
      </w:pPr>
      <w:r>
        <w:rPr>
          <w:b/>
          <w:bCs/>
        </w:rPr>
        <w:t xml:space="preserve">Margin</w:t>
      </w:r>
      <w:r>
        <w:t xml:space="preserve"> </w:t>
      </w:r>
      <w:r>
        <w:t xml:space="preserve">— CFO Tom Stiehle said the Q2 guide includes the sub award only at a "factored" (probability-weighted) rate, so a clean signing could be an upside surprise to the margin band.</w:t>
      </w:r>
    </w:p>
    <w:p>
      <w:pPr>
        <w:pStyle w:val="Compact"/>
        <w:numPr>
          <w:ilvl w:val="0"/>
          <w:numId w:val="1002"/>
        </w:numPr>
      </w:pPr>
      <w:r>
        <w:rPr>
          <w:b/>
          <w:bCs/>
        </w:rPr>
        <w:t xml:space="preserve">Operations</w:t>
      </w:r>
      <w:r>
        <w:t xml:space="preserve"> </w:t>
      </w:r>
      <w:r>
        <w:t xml:space="preserve">— Kastner stressed getting it under contract keeps the submarine build "in sequence" and on schedule.</w:t>
      </w:r>
    </w:p>
    <w:p>
      <w:pPr>
        <w:pStyle w:val="FirstParagraph"/>
      </w:pPr>
      <w:r>
        <w:t xml:space="preserve">These awards have already slipped several months versus original timing, and management was noticeably vague on the sticking points ("a large contract that needs significant review... it's complicated").</w:t>
      </w:r>
      <w:r>
        <w:t xml:space="preserve"> </w:t>
      </w:r>
      <w:r>
        <w:rPr>
          <w:b/>
          <w:bCs/>
        </w:rPr>
        <w:t xml:space="preserve">Watch for: did it sign in Q2, did it push again, and what did it do to backlog</w:t>
      </w:r>
      <w:r>
        <w:t xml:space="preserve"> </w:t>
      </w:r>
      <w:r>
        <w:t xml:space="preserve">(which sat at $54.0B at Q1, down from the record $56.9B a year ago precisely because these mega-awards haven't yet booked). A signing could push backlog back toward/above record levels.</w:t>
      </w:r>
    </w:p>
    <w:bookmarkEnd w:id="12"/>
    <w:bookmarkStart w:id="13" w:name="X75753ceaf49adfc195a83e0a6cec0ccf043e9c6"/>
    <w:p>
      <w:pPr>
        <w:pStyle w:val="Heading3"/>
      </w:pPr>
      <w:r>
        <w:t xml:space="preserve">B) Shipbuilding revenue growth vs. a conservative guide</w:t>
      </w:r>
    </w:p>
    <w:p>
      <w:pPr>
        <w:pStyle w:val="FirstParagraph"/>
      </w:pPr>
      <w:r>
        <w:t xml:space="preserve">Shipbuilding grew ~17.6% in Q1 on top of strong H2'25, yet the reaffirmed FY guide mathematically implies flat-to-down shipbuilding revenue in H2. On the call, analysts (Poponak, Strauss) pushed hard on this; Stiehle insisted "we won't see a contraction in revenue in the back half" and that there's "a strong opportunity set to exceed" the guide, but wanted "a couple more quarters" of run-rate before raising.</w:t>
      </w:r>
      <w:r>
        <w:t xml:space="preserve"> </w:t>
      </w:r>
      <w:r>
        <w:rPr>
          <w:b/>
          <w:bCs/>
        </w:rPr>
        <w:t xml:space="preserve">A guidance raise on the shipbuilding line is the most likely positive catalyst</w:t>
      </w:r>
      <w:r>
        <w:t xml:space="preserve"> </w:t>
      </w:r>
      <w:r>
        <w:t xml:space="preserve">if throughput held. The company is targeting ~15% throughput improvement for FY26 and a 30% increase in outsourced hours — watch for confirmation both are on track.</w:t>
      </w:r>
    </w:p>
    <w:bookmarkEnd w:id="13"/>
    <w:bookmarkStart w:id="14" w:name="X33bfe33ec5924b7a9544d105fe388a024cf9595"/>
    <w:p>
      <w:pPr>
        <w:pStyle w:val="Heading3"/>
      </w:pPr>
      <w:r>
        <w:t xml:space="preserve">C) Margins and cumulative adjustments (the persistent overhang)</w:t>
      </w:r>
    </w:p>
    <w:p>
      <w:pPr>
        <w:pStyle w:val="FirstParagraph"/>
      </w:pPr>
      <w:r>
        <w:t xml:space="preserve">Shipbuilding margins remain the bear case:</w:t>
      </w:r>
    </w:p>
    <w:p>
      <w:pPr>
        <w:pStyle w:val="Compact"/>
        <w:numPr>
          <w:ilvl w:val="0"/>
          <w:numId w:val="1003"/>
        </w:numPr>
      </w:pPr>
      <w:r>
        <w:rPr>
          <w:b/>
          <w:bCs/>
        </w:rPr>
        <w:t xml:space="preserve">Ingalls</w:t>
      </w:r>
      <w:r>
        <w:t xml:space="preserve"> </w:t>
      </w:r>
      <w:r>
        <w:t xml:space="preserve">printed 6.8% in Q1 (down from 7.2%) — the softest in a while — on</w:t>
      </w:r>
      <w:r>
        <w:t xml:space="preserve"> </w:t>
      </w:r>
      <w:r>
        <w:rPr>
          <w:b/>
          <w:bCs/>
        </w:rPr>
        <w:t xml:space="preserve">LHA-8 (Bougainville)</w:t>
      </w:r>
      <w:r>
        <w:t xml:space="preserve"> </w:t>
      </w:r>
      <w:r>
        <w:t xml:space="preserve">test-program issues that forced a negative EAC adjustment. LHA-8 is due to trials at year-end and deliver next year; watch for further schedule risk.</w:t>
      </w:r>
    </w:p>
    <w:p>
      <w:pPr>
        <w:pStyle w:val="Compact"/>
        <w:numPr>
          <w:ilvl w:val="0"/>
          <w:numId w:val="1003"/>
        </w:numPr>
      </w:pPr>
      <w:r>
        <w:rPr>
          <w:b/>
          <w:bCs/>
        </w:rPr>
        <w:t xml:space="preserve">Newport News</w:t>
      </w:r>
      <w:r>
        <w:t xml:space="preserve"> </w:t>
      </w:r>
      <w:r>
        <w:t xml:space="preserve">ran 5.3% (down from 6.1%), hurt by aircraft-carrier construction performance.</w:t>
      </w:r>
      <w:r>
        <w:t xml:space="preserve"> </w:t>
      </w:r>
      <w:r>
        <w:rPr>
          <w:b/>
          <w:bCs/>
        </w:rPr>
        <w:t xml:space="preserve">CVN-79 Kennedy</w:t>
      </w:r>
      <w:r>
        <w:t xml:space="preserve"> </w:t>
      </w:r>
      <w:r>
        <w:t xml:space="preserve">completed builder's trials and is heading to acceptance trials in H2; the "out of sequence / missing equipment" carrier narrative is the key margin swing at NNS.</w:t>
      </w:r>
    </w:p>
    <w:p>
      <w:pPr>
        <w:pStyle w:val="FirstParagraph"/>
      </w:pPr>
      <w:r>
        <w:t xml:space="preserve">The market wants evidence that post-COVID contract ships (better priced/negotiated) are ramping. Management reiterated the pre-COVID → post-COVID crossover happens in</w:t>
      </w:r>
      <w:r>
        <w:t xml:space="preserve"> </w:t>
      </w:r>
      <w:r>
        <w:rPr>
          <w:b/>
          <w:bCs/>
        </w:rPr>
        <w:t xml:space="preserve">2027</w:t>
      </w:r>
      <w:r>
        <w:t xml:space="preserve">, with backlog already ~50/50. Any commentary that this is pulling forward would be a positive.</w:t>
      </w:r>
    </w:p>
    <w:p>
      <w:r>
        <w:pict>
          <v:rect style="width:0;height:1.5pt" o:hralign="center" o:hrstd="t" o:hr="t"/>
        </w:pict>
      </w:r>
    </w:p>
    <w:bookmarkEnd w:id="14"/>
    <w:bookmarkEnd w:id="15"/>
    <w:bookmarkStart w:id="16" w:name="X4d7c965e1fc47bcc49e17c0ed19ac97c2332447"/>
    <w:p>
      <w:pPr>
        <w:pStyle w:val="Heading2"/>
      </w:pPr>
      <w:r>
        <w:t xml:space="preserve">3. Milestones to listen for on the H2 checklist</w:t>
      </w:r>
    </w:p>
    <w:p>
      <w:pPr>
        <w:pStyle w:val="FirstParagraph"/>
      </w:pPr>
      <w:r>
        <w:t xml:space="preserve">Management laid out back-half-weighted milestones:</w:t>
      </w:r>
      <w:r>
        <w:t xml:space="preserve"> </w:t>
      </w:r>
      <w:r>
        <w:rPr>
          <w:b/>
          <w:bCs/>
        </w:rPr>
        <w:t xml:space="preserve">CVN-79 acceptance trials, SSN-800 Arkansas delivery (last Block IV boat), LPD-30 Harrisburg delivery, CVN-81 keel laying, CVN-82 advance procurement/long-lead.</w:t>
      </w:r>
      <w:r>
        <w:t xml:space="preserve"> </w:t>
      </w:r>
      <w:r>
        <w:t xml:space="preserve">Deliveries carry incentive fees and cash, so slippage of any of these would pressure both the FCF and margin ramp the full-year guide depends on.</w:t>
      </w:r>
    </w:p>
    <w:p>
      <w:r>
        <w:pict>
          <v:rect style="width:0;height:1.5pt" o:hralign="center" o:hrstd="t" o:hr="t"/>
        </w:pict>
      </w:r>
    </w:p>
    <w:bookmarkEnd w:id="16"/>
    <w:bookmarkStart w:id="17" w:name="Xac2d173542f2283d80daeda256a7ab75821e697"/>
    <w:p>
      <w:pPr>
        <w:pStyle w:val="Heading2"/>
      </w:pPr>
      <w:r>
        <w:t xml:space="preserve">4. The macro/policy tailwind is getting louder</w:t>
      </w:r>
    </w:p>
    <w:p>
      <w:pPr>
        <w:pStyle w:val="FirstParagraph"/>
      </w:pPr>
      <w:r>
        <w:t xml:space="preserve">The strategic backdrop is arguably the best in HII's history:</w:t>
      </w:r>
    </w:p>
    <w:p>
      <w:pPr>
        <w:pStyle w:val="Compact"/>
        <w:numPr>
          <w:ilvl w:val="0"/>
          <w:numId w:val="1004"/>
        </w:numPr>
      </w:pPr>
      <w:r>
        <w:t xml:space="preserve">The FY27 budget request funds a broad shipbuilding slate (2 amphibs, a DDG-51, 2 Block VI Virginias, 1 Columbia, the first FFX frigate, continued carrier funding) plus early money for the new</w:t>
      </w:r>
      <w:r>
        <w:t xml:space="preserve"> </w:t>
      </w:r>
      <w:r>
        <w:rPr>
          <w:b/>
          <w:bCs/>
        </w:rPr>
        <w:t xml:space="preserve">"Trump-class" battleship (USS Defiant)</w:t>
      </w:r>
      <w:r>
        <w:t xml:space="preserve">.</w:t>
      </w:r>
    </w:p>
    <w:p>
      <w:pPr>
        <w:pStyle w:val="Compact"/>
        <w:numPr>
          <w:ilvl w:val="0"/>
          <w:numId w:val="1004"/>
        </w:numPr>
      </w:pPr>
      <w:r>
        <w:t xml:space="preserve">Reporting around the "Golden Fleet" push notes the Navy is seeking roughly $65.8B for FY27, about 40% above the prior request — years of visible demand for the only builder of U.S. nuclear carriers and a major sub/amphib/surface-combatant builder.</w:t>
      </w:r>
    </w:p>
    <w:p>
      <w:pPr>
        <w:pStyle w:val="Compact"/>
        <w:numPr>
          <w:ilvl w:val="0"/>
          <w:numId w:val="1004"/>
        </w:numPr>
      </w:pPr>
      <w:r>
        <w:t xml:space="preserve">Management flags the</w:t>
      </w:r>
      <w:r>
        <w:t xml:space="preserve"> </w:t>
      </w:r>
      <w:r>
        <w:rPr>
          <w:b/>
          <w:bCs/>
        </w:rPr>
        <w:t xml:space="preserve">battleship and frigate as upside not yet in guidance</w:t>
      </w:r>
      <w:r>
        <w:t xml:space="preserve">, and is leaning into unmanned/autonomy (ROMULUS, Odyssey software, MUSV competition) — though Kastner cautioned unmanned won't be "material this year."</w:t>
      </w:r>
    </w:p>
    <w:p>
      <w:pPr>
        <w:pStyle w:val="FirstParagraph"/>
      </w:pPr>
      <w:r>
        <w:rPr>
          <w:b/>
          <w:bCs/>
        </w:rPr>
        <w:t xml:space="preserve">The persistent constraint is labor.</w:t>
      </w:r>
      <w:r>
        <w:t xml:space="preserve"> </w:t>
      </w:r>
      <w:r>
        <w:t xml:space="preserve">HII hired 1,600+ shipbuilders in Q1 and is running apprentice schools at full enrollment, but a large share of skilled maritime workers are near retirement. New CBAs at Ingalls (through 2031) and last year's Newport News wage adjustments are meant to stabilize attrition; watch for updated attrition/hiring metrics as the real leading indicator for the throughput story.</w:t>
      </w:r>
    </w:p>
    <w:p>
      <w:r>
        <w:pict>
          <v:rect style="width:0;height:1.5pt" o:hralign="center" o:hrstd="t" o:hr="t"/>
        </w:pict>
      </w:r>
    </w:p>
    <w:bookmarkEnd w:id="17"/>
    <w:bookmarkStart w:id="18" w:name="X3199a3539e488ec1a58d7405f6c8d5afefb3301"/>
    <w:p>
      <w:pPr>
        <w:pStyle w:val="Heading2"/>
      </w:pPr>
      <w:r>
        <w:t xml:space="preserve">5. Stock context — why expectations have reset</w:t>
      </w:r>
    </w:p>
    <w:p>
      <w:pPr>
        <w:pStyle w:val="FirstParagraph"/>
      </w:pPr>
      <w:r>
        <w:t xml:space="preserve">This matters for how the print trades:</w:t>
      </w:r>
    </w:p>
    <w:p>
      <w:pPr>
        <w:pStyle w:val="Compact"/>
        <w:numPr>
          <w:ilvl w:val="0"/>
          <w:numId w:val="1005"/>
        </w:numPr>
      </w:pPr>
      <w:r>
        <w:t xml:space="preserve">HII ran from ~</w:t>
      </w:r>
      <m:oMath>
        <m:r>
          <m:t>246</m:t>
        </m:r>
        <m:r>
          <m:t>l</m:t>
        </m:r>
        <m:r>
          <m:t>a</m:t>
        </m:r>
        <m:r>
          <m:t>s</m:t>
        </m:r>
        <m:r>
          <m:t>t</m:t>
        </m:r>
        <m:r>
          <m:t>J</m:t>
        </m:r>
        <m:r>
          <m:t>u</m:t>
        </m:r>
        <m:r>
          <m:t>l</m:t>
        </m:r>
        <m:r>
          <m:t>y</m:t>
        </m:r>
        <m:r>
          <m:t>t</m:t>
        </m:r>
        <m:r>
          <m:t>o</m:t>
        </m:r>
        <m:r>
          <m:t>a</m:t>
        </m:r>
        <m:r>
          <m:t>n</m:t>
        </m:r>
        <m:r>
          <m:t>i</m:t>
        </m:r>
        <m:r>
          <m:t>n</m:t>
        </m:r>
        <m:r>
          <m:t>t</m:t>
        </m:r>
        <m:r>
          <m:t>r</m:t>
        </m:r>
        <m:r>
          <m:t>a</m:t>
        </m:r>
        <m:r>
          <m:t>d</m:t>
        </m:r>
        <m:r>
          <m:t>a</m:t>
        </m:r>
        <m:r>
          <m:t>y</m:t>
        </m:r>
        <m:r>
          <m:t>p</m:t>
        </m:r>
        <m:r>
          <m:t>e</m:t>
        </m:r>
        <m:r>
          <m:t>a</m:t>
        </m:r>
        <m:r>
          <m:t>k</m:t>
        </m:r>
        <m:r>
          <m:t>a</m:t>
        </m:r>
        <m:r>
          <m:t>r</m:t>
        </m:r>
        <m:r>
          <m:t>o</m:t>
        </m:r>
        <m:r>
          <m:t>u</m:t>
        </m:r>
        <m:r>
          <m:t>n</m:t>
        </m:r>
        <m:r>
          <m:t>d</m:t>
        </m:r>
        <m:r>
          <m:rPr>
            <m:sty m:val="p"/>
          </m:rPr>
          <m:t>*</m:t>
        </m:r>
        <m:r>
          <m:rPr>
            <m:sty m:val="p"/>
          </m:rPr>
          <m:t>*</m:t>
        </m:r>
      </m:oMath>
      <w:r>
        <w:t xml:space="preserve">453 in early March 2026**, then rolled over hard.</w:t>
      </w:r>
    </w:p>
    <w:p>
      <w:pPr>
        <w:pStyle w:val="Compact"/>
        <w:numPr>
          <w:ilvl w:val="0"/>
          <w:numId w:val="1005"/>
        </w:numPr>
      </w:pPr>
      <w:r>
        <w:t xml:space="preserve">Shares fell ~10% on the Q1 print (May 5: ~$363 →</w:t>
      </w:r>
      <w:r>
        <w:t xml:space="preserve"> </w:t>
      </w:r>
      <m:oMath>
        <m:r>
          <m:t>326</m:t>
        </m:r>
        <m:r>
          <m:rPr>
            <m:sty m:val="p"/>
          </m:rPr>
          <m:t>)</m:t>
        </m:r>
        <m:r>
          <m:t>a</m:t>
        </m:r>
        <m:r>
          <m:t>n</m:t>
        </m:r>
        <m:r>
          <m:t>d</m:t>
        </m:r>
        <m:r>
          <m:t>h</m:t>
        </m:r>
        <m:r>
          <m:t>a</m:t>
        </m:r>
        <m:r>
          <m:t>v</m:t>
        </m:r>
        <m:r>
          <m:t>e</m:t>
        </m:r>
        <m:r>
          <m:t>s</m:t>
        </m:r>
        <m:r>
          <m:t>i</m:t>
        </m:r>
        <m:r>
          <m:t>n</m:t>
        </m:r>
        <m:r>
          <m:t>c</m:t>
        </m:r>
        <m:r>
          <m:t>e</m:t>
        </m:r>
        <m:r>
          <m:t>d</m:t>
        </m:r>
        <m:r>
          <m:t>r</m:t>
        </m:r>
        <m:r>
          <m:t>i</m:t>
        </m:r>
        <m:r>
          <m:t>f</m:t>
        </m:r>
        <m:r>
          <m:t>t</m:t>
        </m:r>
        <m:r>
          <m:t>e</m:t>
        </m:r>
        <m:r>
          <m:t>d</m:t>
        </m:r>
        <m:r>
          <m:t>t</m:t>
        </m:r>
        <m:r>
          <m:t>o</m:t>
        </m:r>
        <m:r>
          <m:t>t</m:t>
        </m:r>
        <m:r>
          <m:t>h</m:t>
        </m:r>
        <m:r>
          <m:t>e</m:t>
        </m:r>
        <m:r>
          <m:rPr>
            <m:sty m:val="p"/>
          </m:rPr>
          <m:t>*</m:t>
        </m:r>
        <m:r>
          <m:rPr>
            <m:sty m:val="p"/>
          </m:rPr>
          <m:t>*</m:t>
        </m:r>
        <m:r>
          <m:t> </m:t>
        </m:r>
      </m:oMath>
      <w:r>
        <w:t xml:space="preserve">285–300 range** (closed ~</w:t>
      </w:r>
      <m:oMath>
        <m:r>
          <m:t>287.55</m:t>
        </m:r>
        <m:r>
          <m:t>o</m:t>
        </m:r>
        <m:r>
          <m:t>n</m:t>
        </m:r>
        <m:r>
          <m:t>J</m:t>
        </m:r>
        <m:r>
          <m:t>u</m:t>
        </m:r>
        <m:r>
          <m:t>l</m:t>
        </m:r>
        <m:r>
          <m:t>y</m:t>
        </m:r>
        <m:r>
          <m:t>29</m:t>
        </m:r>
        <m:r>
          <m:rPr>
            <m:sty m:val="p"/>
          </m:rPr>
          <m:t>,</m:t>
        </m:r>
        <m:r>
          <m:t>a</m:t>
        </m:r>
        <m:r>
          <m:t>f</m:t>
        </m:r>
        <m:r>
          <m:t>t</m:t>
        </m:r>
        <m:r>
          <m:t>e</m:t>
        </m:r>
        <m:r>
          <m:t>r</m:t>
        </m:r>
        <m:r>
          <m:t>a</m:t>
        </m:r>
        <m:r>
          <m:t>p</m:t>
        </m:r>
        <m:r>
          <m:t>o</m:t>
        </m:r>
        <m:r>
          <m:t>p</m:t>
        </m:r>
        <m:r>
          <m:t>t</m:t>
        </m:r>
        <m:r>
          <m:t>o</m:t>
        </m:r>
        <m:r>
          <m:t> </m:t>
        </m:r>
      </m:oMath>
      <w:r>
        <w:t xml:space="preserve">300 on July 28).</w:t>
      </w:r>
    </w:p>
    <w:p>
      <w:pPr>
        <w:pStyle w:val="Compact"/>
        <w:numPr>
          <w:ilvl w:val="0"/>
          <w:numId w:val="1005"/>
        </w:numPr>
      </w:pPr>
      <w:r>
        <w:t xml:space="preserve">That leaves the stock</w:t>
      </w:r>
      <w:r>
        <w:t xml:space="preserve"> </w:t>
      </w:r>
      <w:r>
        <w:rPr>
          <w:b/>
          <w:bCs/>
        </w:rPr>
        <w:t xml:space="preserve">down roughly 18% year-to-date and ~37% off its highs</w:t>
      </w:r>
      <w:r>
        <w:t xml:space="preserve">, even though it's still up modestly year-over-year. Over the same stretch, defense peers GD and LMT have been steadier.</w:t>
      </w:r>
    </w:p>
    <w:p>
      <w:pPr>
        <w:pStyle w:val="FirstParagraph"/>
      </w:pPr>
      <w:r>
        <w:rPr>
          <w:b/>
          <w:bCs/>
        </w:rPr>
        <w:t xml:space="preserve">Implication:</w:t>
      </w:r>
      <w:r>
        <w:t xml:space="preserve"> </w:t>
      </w:r>
      <w:r>
        <w:t xml:space="preserve">a lot of the "supercycle" enthusiasm has already been de-rated out of the stock. That cuts both ways — the bar on sentiment is lower than it was in Q1, so a submarine award + shipbuilding guide raise could be a relief rally, while another margin miss or a fourth quarter of sub-contract slippage into a still-negative cash quarter would confirm the bears.</w:t>
      </w:r>
    </w:p>
    <w:p>
      <w:r>
        <w:pict>
          <v:rect style="width:0;height:1.5pt" o:hralign="center" o:hrstd="t" o:hr="t"/>
        </w:pict>
      </w:r>
    </w:p>
    <w:bookmarkEnd w:id="18"/>
    <w:bookmarkStart w:id="19" w:name="bottom-line--what-to-focus-on-thursday"/>
    <w:p>
      <w:pPr>
        <w:pStyle w:val="Heading2"/>
      </w:pPr>
      <w:r>
        <w:t xml:space="preserve">Bottom line — what to focus on Thursday</w:t>
      </w:r>
    </w:p>
    <w:p>
      <w:pPr>
        <w:pStyle w:val="Compact"/>
        <w:numPr>
          <w:ilvl w:val="0"/>
          <w:numId w:val="1006"/>
        </w:numPr>
      </w:pPr>
      <w:r>
        <w:rPr>
          <w:b/>
          <w:bCs/>
        </w:rPr>
        <w:t xml:space="preserve">Did the Virginia Block VI / Columbia sub contracts get signed?</w:t>
      </w:r>
      <w:r>
        <w:t xml:space="preserve"> </w:t>
      </w:r>
      <w:r>
        <w:t xml:space="preserve">This is the headline; it drives backlog, cash, and margin.</w:t>
      </w:r>
    </w:p>
    <w:p>
      <w:pPr>
        <w:pStyle w:val="Compact"/>
        <w:numPr>
          <w:ilvl w:val="0"/>
          <w:numId w:val="1006"/>
        </w:numPr>
      </w:pPr>
      <w:r>
        <w:rPr>
          <w:b/>
          <w:bCs/>
        </w:rPr>
        <w:t xml:space="preserve">Any raise (or at least more bullish framing) on the shipbuilding revenue guide</w:t>
      </w:r>
      <w:r>
        <w:t xml:space="preserve"> </w:t>
      </w:r>
      <w:r>
        <w:t xml:space="preserve">after four straight strong quarters.</w:t>
      </w:r>
    </w:p>
    <w:p>
      <w:pPr>
        <w:pStyle w:val="Compact"/>
        <w:numPr>
          <w:ilvl w:val="0"/>
          <w:numId w:val="1006"/>
        </w:numPr>
      </w:pPr>
      <w:r>
        <w:rPr>
          <w:b/>
          <w:bCs/>
        </w:rPr>
        <w:t xml:space="preserve">Shipbuilding margins</w:t>
      </w:r>
      <w:r>
        <w:t xml:space="preserve"> </w:t>
      </w:r>
      <w:r>
        <w:t xml:space="preserve">— proof that Ingalls (LHA-8) and Newport News (CVN-79 carrier) execution is stabilizing, and the pace of the pre-/post-COVID mix shift.</w:t>
      </w:r>
    </w:p>
    <w:p>
      <w:pPr>
        <w:pStyle w:val="Compact"/>
        <w:numPr>
          <w:ilvl w:val="0"/>
          <w:numId w:val="1006"/>
        </w:numPr>
      </w:pPr>
      <w:r>
        <w:t xml:space="preserve">**Reaffirmation of the</w:t>
      </w:r>
      <w:r>
        <w:t xml:space="preserve"> </w:t>
      </w:r>
      <m:oMath>
        <m:r>
          <m:t>500</m:t>
        </m:r>
        <m:r>
          <m:rPr>
            <m:sty m:val="p"/>
          </m:rPr>
          <m:t>–</m:t>
        </m:r>
        <m:r>
          <m:t>600</m:t>
        </m:r>
        <m:r>
          <m:t>M</m:t>
        </m:r>
        <m:r>
          <m:t>F</m:t>
        </m:r>
        <m:r>
          <m:t>C</m:t>
        </m:r>
        <m:r>
          <m:t>F</m:t>
        </m:r>
        <m:r>
          <m:t>t</m:t>
        </m:r>
        <m:r>
          <m:t>a</m:t>
        </m:r>
        <m:r>
          <m:t>r</m:t>
        </m:r>
        <m:r>
          <m:t>g</m:t>
        </m:r>
        <m:r>
          <m:t>e</m:t>
        </m:r>
        <m:r>
          <m:t>t</m:t>
        </m:r>
        <m:r>
          <m:rPr>
            <m:sty m:val="p"/>
          </m:rPr>
          <m:t>*</m:t>
        </m:r>
        <m:r>
          <m:rPr>
            <m:sty m:val="p"/>
          </m:rPr>
          <m:t>*</m:t>
        </m:r>
        <m:r>
          <m:t>a</m:t>
        </m:r>
        <m:r>
          <m:t>n</m:t>
        </m:r>
        <m:r>
          <m:t>d</m:t>
        </m:r>
        <m:r>
          <m:t>c</m:t>
        </m:r>
        <m:r>
          <m:t>o</m:t>
        </m:r>
        <m:r>
          <m:t>n</m:t>
        </m:r>
        <m:r>
          <m:t>f</m:t>
        </m:r>
        <m:r>
          <m:t>i</m:t>
        </m:r>
        <m:r>
          <m:t>d</m:t>
        </m:r>
        <m:r>
          <m:t>e</m:t>
        </m:r>
        <m:r>
          <m:t>n</m:t>
        </m:r>
        <m:r>
          <m:t>c</m:t>
        </m:r>
        <m:r>
          <m:t>e</m:t>
        </m:r>
        <m:r>
          <m:t>i</m:t>
        </m:r>
        <m:r>
          <m:t>n</m:t>
        </m:r>
        <m:r>
          <m:t>t</m:t>
        </m:r>
        <m:r>
          <m:t>h</m:t>
        </m:r>
        <m:r>
          <m:t>e</m:t>
        </m:r>
        <m:r>
          <m:t> </m:t>
        </m:r>
      </m:oMath>
      <w:r>
        <w:t xml:space="preserve">1B H2 cash generation, given a near-break-even Q2.</w:t>
      </w:r>
    </w:p>
    <w:p>
      <w:pPr>
        <w:pStyle w:val="Compact"/>
        <w:numPr>
          <w:ilvl w:val="0"/>
          <w:numId w:val="1006"/>
        </w:numPr>
      </w:pPr>
      <w:r>
        <w:rPr>
          <w:b/>
          <w:bCs/>
        </w:rPr>
        <w:t xml:space="preserve">Milestone timing</w:t>
      </w:r>
      <w:r>
        <w:t xml:space="preserve"> </w:t>
      </w:r>
      <w:r>
        <w:t xml:space="preserve">(CVN-79 acceptance, SSN-800, LPD-30) and any hard numbers on hiring/attrition and outsourcing.</w:t>
      </w:r>
    </w:p>
    <w:p>
      <w:pPr>
        <w:pStyle w:val="FirstParagraph"/>
      </w:pPr>
      <w:r>
        <w:t xml:space="preserve">The long-term demand signal for HII has rarely been stronger; the debate is entirely about</w:t>
      </w:r>
      <w:r>
        <w:t xml:space="preserve"> </w:t>
      </w:r>
      <w:r>
        <w:rPr>
          <w:i/>
          <w:iCs/>
        </w:rPr>
        <w:t xml:space="preserve">execution timing</w:t>
      </w:r>
      <w:r>
        <w:t xml:space="preserve"> </w:t>
      </w:r>
      <w:r>
        <w:t xml:space="preserve">— contracts, throughput conversion, and cash — and whether management finally lets the guidance catch up to the order book.</w:t>
      </w:r>
    </w:p>
    <w:p>
      <w:pPr>
        <w:pStyle w:val="BodyText"/>
      </w:pPr>
      <w:r>
        <w:rPr>
          <w:i/>
          <w:iCs/>
        </w:rPr>
        <w:t xml:space="preserve">Note: Figures above are drawn from HII's Q1 FY26 and Q2 FY25 earnings releases/calls and market data. This is an informational preview, not investment advice or a forecast of the actual results.</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2026-07-29T18:43:31Z</dcterms:created>
  <dcterms:modified xsi:type="dcterms:W3CDTF">2026-07-29T18:43:31Z</dcterms:modified>
</cp:coreProperties>
</file>

<file path=docProps/custom.xml><?xml version="1.0" encoding="utf-8"?>
<Properties xmlns="http://schemas.openxmlformats.org/officeDocument/2006/custom-properties" xmlns:vt="http://schemas.openxmlformats.org/officeDocument/2006/docPropsVTypes"/>
</file>