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16" w:name="X0fe3f2c275f8ff8b96858991c06021dd85ce6bc"/>
    <w:p>
      <w:pPr>
        <w:pStyle w:val="Heading1"/>
      </w:pPr>
      <w:r>
        <w:t xml:space="preserve">HII (Huntington Ingalls Industries) — Q2 2026 Earnings Preview</w:t>
      </w:r>
    </w:p>
    <w:p>
      <w:pPr>
        <w:pStyle w:val="FirstParagraph"/>
      </w:pPr>
      <w:r>
        <w:rPr>
          <w:b/>
          <w:bCs/>
        </w:rPr>
        <w:t xml:space="preserve">Report date:</w:t>
      </w:r>
      <w:r>
        <w:t xml:space="preserve"> </w:t>
      </w:r>
      <w:r>
        <w:t xml:space="preserve">Thursday, July 30, 2026 (pre-market) |</w:t>
      </w:r>
      <w:r>
        <w:t xml:space="preserve"> </w:t>
      </w:r>
      <w:r>
        <w:rPr>
          <w:b/>
          <w:bCs/>
        </w:rPr>
        <w:t xml:space="preserve">Call:</w:t>
      </w:r>
      <w:r>
        <w:t xml:space="preserve"> </w:t>
      </w:r>
      <w:r>
        <w:t xml:space="preserve">9:00 a.m. ET</w:t>
      </w:r>
    </w:p>
    <w:p>
      <w:r>
        <w:pict>
          <v:rect style="width:0;height:1.5pt" o:hralign="center" o:hrstd="t" o:hr="t"/>
        </w:pict>
      </w:r>
    </w:p>
    <w:bookmarkStart w:id="9" w:name="setup-into-the-print"/>
    <w:p>
      <w:pPr>
        <w:pStyle w:val="Heading2"/>
      </w:pPr>
      <w:r>
        <w:t xml:space="preserve">Setup Into the Print</w:t>
      </w:r>
    </w:p>
    <w:p>
      <w:pPr>
        <w:pStyle w:val="FirstParagraph"/>
      </w:pPr>
      <w:r>
        <w:t xml:space="preserve">HII shares have had a rough year heading into this report. The stock hit an all-time high near</w:t>
      </w:r>
      <w:r>
        <w:t xml:space="preserve"> </w:t>
      </w:r>
      <m:oMath>
        <m:r>
          <m:t>454</m:t>
        </m:r>
        <m:r>
          <m:t>i</m:t>
        </m:r>
        <m:r>
          <m:t>n</m:t>
        </m:r>
        <m:r>
          <m:t>M</m:t>
        </m:r>
        <m:r>
          <m:t>a</m:t>
        </m:r>
        <m:r>
          <m:t>r</m:t>
        </m:r>
        <m:r>
          <m:t>c</m:t>
        </m:r>
        <m:r>
          <m:t>h</m:t>
        </m:r>
        <m:r>
          <m:t>2026</m:t>
        </m:r>
        <m:r>
          <m:t>a</m:t>
        </m:r>
        <m:r>
          <m:t>n</m:t>
        </m:r>
        <m:r>
          <m:t>d</m:t>
        </m:r>
        <m:r>
          <m:t>h</m:t>
        </m:r>
        <m:r>
          <m:t>a</m:t>
        </m:r>
        <m:r>
          <m:t>s</m:t>
        </m:r>
        <m:r>
          <m:t>s</m:t>
        </m:r>
        <m:r>
          <m:t>i</m:t>
        </m:r>
        <m:r>
          <m:t>n</m:t>
        </m:r>
        <m:r>
          <m:t>c</m:t>
        </m:r>
        <m:r>
          <m:t>e</m:t>
        </m:r>
        <m:r>
          <m:t>f</m:t>
        </m:r>
        <m:r>
          <m:t>a</m:t>
        </m:r>
        <m:r>
          <m:t>l</m:t>
        </m:r>
        <m:r>
          <m:t>l</m:t>
        </m:r>
        <m:r>
          <m:t>e</m:t>
        </m:r>
        <m:r>
          <m:t>n</m:t>
        </m:r>
        <m:r>
          <m:t>r</m:t>
        </m:r>
        <m:r>
          <m:t>o</m:t>
        </m:r>
        <m:r>
          <m:t>u</m:t>
        </m:r>
        <m:r>
          <m:t>g</m:t>
        </m:r>
        <m:r>
          <m:t>h</m:t>
        </m:r>
        <m:r>
          <m:t>l</m:t>
        </m:r>
        <m:r>
          <m:t>y</m:t>
        </m:r>
        <m:r>
          <m:t>35</m:t>
        </m:r>
        <m:r>
          <m:rPr>
            <m:sty m:val="p"/>
          </m:rPr>
          <m:t>−</m:t>
        </m:r>
        <m:r>
          <m:t>40</m:t>
        </m:r>
      </m:oMath>
      <w:r>
        <w:t xml:space="preserve">287.55 on July 29**. Simply Wall St noted the stock was down about 30.8% over just the trailing 90 days as of late June. The sell-off intensified after the</w:t>
      </w:r>
      <w:r>
        <w:t xml:space="preserve"> </w:t>
      </w:r>
      <w:r>
        <w:rPr>
          <w:b/>
          <w:bCs/>
        </w:rPr>
        <w:t xml:space="preserve">Q1 print on May 5</w:t>
      </w:r>
      <w:r>
        <w:t xml:space="preserve">, when shares dropped over 10% intraday despite a headline beat, as investors focused on Ingalls margin softness and heavy first-quarter cash usage. Sell-side price targets have been trimmed since: Wells Fargo cut its target to $325 from $400 (Equal Weight) in early July, and Citi lowered its target to $349 from $405 while maintaining a Buy rating. Shares have partly stabilized in the last two weeks, including a ~5.6% jump on July 23 amid a broader defense-sector rally. Consensus sentiment remains constructive overall — one recent tally showed 13 analysts split between "Strong Buy" and "Hold" with an average target near $359, implying meaningful upside from current levels — but the direction of estimate revisions has generally been down, not up, over the past quarter.</w:t>
      </w:r>
    </w:p>
    <w:bookmarkEnd w:id="9"/>
    <w:bookmarkStart w:id="10" w:name="what-wall-street-expects-for-q2"/>
    <w:p>
      <w:pPr>
        <w:pStyle w:val="Heading2"/>
      </w:pPr>
      <w:r>
        <w:t xml:space="preserve">What Wall Street Expects for Q2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EPS:</w:t>
      </w:r>
      <w:r>
        <w:t xml:space="preserve"> </w:t>
      </w:r>
      <w:r>
        <w:t xml:space="preserve">Consensus is roughly</w:t>
      </w:r>
      <w:r>
        <w:t xml:space="preserve"> </w:t>
      </w:r>
      <m:oMath>
        <m:r>
          <m:t>3.80</m:t>
        </m:r>
        <m:r>
          <m:rPr>
            <m:sty m:val="p"/>
          </m:rPr>
          <m:t>–</m:t>
        </m:r>
      </m:oMath>
      <w:r>
        <w:rPr>
          <w:b/>
          <w:bCs/>
        </w:rPr>
        <w:t xml:space="preserve">3.84</w:t>
      </w:r>
      <w:r>
        <w:t xml:space="preserve">, essentially flat to slightly down year-over-year versus $3.86 in Q2 2025 (one estimate pegs it down ~1%).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Revenue:</w:t>
      </w:r>
      <w:r>
        <w:t xml:space="preserve"> </w:t>
      </w:r>
      <w:r>
        <w:t xml:space="preserve">Consensus is approximately</w:t>
      </w:r>
      <w:r>
        <w:t xml:space="preserve"> </w:t>
      </w:r>
      <m:oMath>
        <m:r>
          <m:t>3.15</m:t>
        </m:r>
        <m:r>
          <m:rPr>
            <m:sty m:val="p"/>
          </m:rPr>
          <m:t>–</m:t>
        </m:r>
      </m:oMath>
      <w:r>
        <w:rPr>
          <w:b/>
          <w:bCs/>
        </w:rPr>
        <w:t xml:space="preserve">3.19 billion</w:t>
      </w:r>
      <w:r>
        <w:t xml:space="preserve">, up modestly from Q2 2025.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Full-year 2026:</w:t>
      </w:r>
      <w:r>
        <w:t xml:space="preserve"> </w:t>
      </w:r>
      <w:r>
        <w:t xml:space="preserve">Consensus EPS of about</w:t>
      </w:r>
      <w:r>
        <w:t xml:space="preserve"> </w:t>
      </w:r>
      <m:oMath>
        <m:r>
          <m:t>17.32</m:t>
        </m:r>
        <m:r>
          <m:rPr>
            <m:sty m:val="p"/>
          </m:rPr>
          <m:t>–</m:t>
        </m:r>
      </m:oMath>
      <w:r>
        <w:rPr>
          <w:b/>
          <w:bCs/>
        </w:rPr>
        <w:t xml:space="preserve">17.33</w:t>
      </w:r>
      <w:r>
        <w:t xml:space="preserve">, up ~12.5% from FY2025's</w:t>
      </w:r>
      <w:r>
        <w:t xml:space="preserve"> </w:t>
      </w:r>
      <m:oMath>
        <m:r>
          <m:t>15.39</m:t>
        </m:r>
        <m:r>
          <m:rPr>
            <m:sty m:val="p"/>
          </m:rPr>
          <m:t>,</m:t>
        </m:r>
        <m:r>
          <m:t>w</m:t>
        </m:r>
        <m:r>
          <m:t>i</m:t>
        </m:r>
        <m:r>
          <m:t>t</m:t>
        </m:r>
        <m:r>
          <m:t>h</m:t>
        </m:r>
        <m:r>
          <m:t>F</m:t>
        </m:r>
        <m:r>
          <m:t>Y</m:t>
        </m:r>
        <m:r>
          <m:t>2027</m:t>
        </m:r>
        <m:r>
          <m:t>E</m:t>
        </m:r>
        <m:r>
          <m:t>P</m:t>
        </m:r>
        <m:r>
          <m:t>S</m:t>
        </m:r>
        <m:r>
          <m:t>e</m:t>
        </m:r>
        <m:r>
          <m:t>s</m:t>
        </m:r>
        <m:r>
          <m:t>t</m:t>
        </m:r>
        <m:r>
          <m:t>i</m:t>
        </m:r>
        <m:r>
          <m:t>m</m:t>
        </m:r>
        <m:r>
          <m:t>a</m:t>
        </m:r>
        <m:r>
          <m:t>t</m:t>
        </m:r>
        <m:r>
          <m:t>e</m:t>
        </m:r>
        <m:r>
          <m:t>s</m:t>
        </m:r>
        <m:r>
          <m:t>n</m:t>
        </m:r>
        <m:r>
          <m:t>e</m:t>
        </m:r>
        <m:r>
          <m:t>a</m:t>
        </m:r>
        <m:r>
          <m:t>r</m:t>
        </m:r>
        <m:r>
          <m:rPr>
            <m:sty m:val="p"/>
          </m:rPr>
          <m:t>*</m:t>
        </m:r>
        <m:r>
          <m:rPr>
            <m:sty m:val="p"/>
          </m:rPr>
          <m:t>*</m:t>
        </m:r>
      </m:oMath>
      <w:r>
        <w:t xml:space="preserve">20.02** (+15.6% y/y) — reflecting expectations for margin recovery and shipbuilding throughput gains to compound over time.</w:t>
      </w:r>
    </w:p>
    <w:p>
      <w:pPr>
        <w:pStyle w:val="Compact"/>
        <w:numPr>
          <w:ilvl w:val="0"/>
          <w:numId w:val="1001"/>
        </w:numPr>
      </w:pPr>
      <w:r>
        <w:t xml:space="preserve">HII has beaten Street EPS estimates in each of its last several quarters, including a 2.4% beat in Q1 2026 ($3.79 actual vs. $3.70 estimate).</w:t>
      </w:r>
    </w:p>
    <w:bookmarkEnd w:id="10"/>
    <w:bookmarkStart w:id="11" w:name="q1-2026-recap-context-for-the-print"/>
    <w:p>
      <w:pPr>
        <w:pStyle w:val="Heading2"/>
      </w:pPr>
      <w:r>
        <w:t xml:space="preserve">Q1 2026 Recap (Context for the Print)</w:t>
      </w:r>
    </w:p>
    <w:p>
      <w:pPr>
        <w:pStyle w:val="FirstParagraph"/>
      </w:pPr>
      <w:r>
        <w:t xml:space="preserve">HII's first quarter showed strong top-line momentum but margin softness:</w:t>
      </w:r>
    </w:p>
    <w:p>
      <w:pPr>
        <w:pStyle w:val="Compact"/>
        <w:numPr>
          <w:ilvl w:val="0"/>
          <w:numId w:val="1002"/>
        </w:numPr>
      </w:pPr>
      <w:r>
        <w:t xml:space="preserve">Revenue of $3.1 billion, up 13.4% y/y, ahead of the $2.3 billion shipbuilding revenue guide management had set for the quarter.</w:t>
      </w:r>
    </w:p>
    <w:p>
      <w:pPr>
        <w:pStyle w:val="Compact"/>
        <w:numPr>
          <w:ilvl w:val="0"/>
          <w:numId w:val="1002"/>
        </w:numPr>
      </w:pPr>
      <w:r>
        <w:t xml:space="preserve">Diluted EPS of $3.79, flat year-over-year but above consensus.</w:t>
      </w:r>
    </w:p>
    <w:p>
      <w:pPr>
        <w:pStyle w:val="Compact"/>
        <w:numPr>
          <w:ilvl w:val="0"/>
          <w:numId w:val="1002"/>
        </w:numPr>
      </w:pPr>
      <w:r>
        <w:t xml:space="preserve">Segment operating margin compressed to 5.6% from 6.3%, with</w:t>
      </w:r>
      <w:r>
        <w:t xml:space="preserve"> </w:t>
      </w:r>
      <w:r>
        <w:rPr>
          <w:b/>
          <w:bCs/>
        </w:rPr>
        <w:t xml:space="preserve">Ingalls margin falling to 6.8% from 7.2%</w:t>
      </w:r>
      <w:r>
        <w:t xml:space="preserve"> </w:t>
      </w:r>
      <w:r>
        <w:t xml:space="preserve">(driven by an LHA-8 schedule-risk adjustment) and</w:t>
      </w:r>
      <w:r>
        <w:t xml:space="preserve"> </w:t>
      </w:r>
      <w:r>
        <w:rPr>
          <w:b/>
          <w:bCs/>
        </w:rPr>
        <w:t xml:space="preserve">Newport News margin falling to 5.3% from 6.1%</w:t>
      </w:r>
      <w:r>
        <w:t xml:space="preserve"> </w:t>
      </w:r>
      <w:r>
        <w:t xml:space="preserve">(carrier construction performance and the loss of a prior-year Virginia-class incentive benefit).</w:t>
      </w:r>
    </w:p>
    <w:p>
      <w:pPr>
        <w:pStyle w:val="Compact"/>
        <w:numPr>
          <w:ilvl w:val="0"/>
          <w:numId w:val="1002"/>
        </w:numPr>
      </w:pPr>
      <w:r>
        <w:t xml:space="preserve">Free cash flow was negative</w:t>
      </w:r>
      <w:r>
        <w:t xml:space="preserve"> </w:t>
      </w:r>
      <m:oMath>
        <m:r>
          <m:t>461</m:t>
        </m:r>
        <m:r>
          <m:t>m</m:t>
        </m:r>
        <m:r>
          <m:t>i</m:t>
        </m:r>
        <m:r>
          <m:t>l</m:t>
        </m:r>
        <m:r>
          <m:t>l</m:t>
        </m:r>
        <m:r>
          <m:t>i</m:t>
        </m:r>
        <m:r>
          <m:t>o</m:t>
        </m:r>
        <m:r>
          <m:t>n</m:t>
        </m:r>
        <m:r>
          <m:rPr>
            <m:sty m:val="p"/>
          </m:rPr>
          <m:t>—</m:t>
        </m:r>
        <m:r>
          <m:t>t</m:t>
        </m:r>
        <m:r>
          <m:t>y</m:t>
        </m:r>
        <m:r>
          <m:t>p</m:t>
        </m:r>
        <m:r>
          <m:t>i</m:t>
        </m:r>
        <m:r>
          <m:t>c</m:t>
        </m:r>
        <m:r>
          <m:t>a</m:t>
        </m:r>
        <m:r>
          <m:t>l</m:t>
        </m:r>
        <m:r>
          <m:t>s</m:t>
        </m:r>
        <m:r>
          <m:t>e</m:t>
        </m:r>
        <m:r>
          <m:t>a</m:t>
        </m:r>
        <m:r>
          <m:t>s</m:t>
        </m:r>
        <m:r>
          <m:t>o</m:t>
        </m:r>
        <m:r>
          <m:t>n</m:t>
        </m:r>
        <m:r>
          <m:t>a</m:t>
        </m:r>
        <m:r>
          <m:t>l</m:t>
        </m:r>
        <m:r>
          <m:t>c</m:t>
        </m:r>
        <m:r>
          <m:t>a</m:t>
        </m:r>
        <m:r>
          <m:t>s</m:t>
        </m:r>
        <m:r>
          <m:t>h</m:t>
        </m:r>
        <m:r>
          <m:t>u</m:t>
        </m:r>
        <m:r>
          <m:t>s</m:t>
        </m:r>
        <m:r>
          <m:t>a</m:t>
        </m:r>
        <m:r>
          <m:t>g</m:t>
        </m:r>
        <m:r>
          <m:t>e</m:t>
        </m:r>
        <m:r>
          <m:rPr>
            <m:sty m:val="p"/>
          </m:rPr>
          <m:t>,</m:t>
        </m:r>
        <m:r>
          <m:t>b</m:t>
        </m:r>
        <m:r>
          <m:t>u</m:t>
        </m:r>
        <m:r>
          <m:t>t</m:t>
        </m:r>
        <m:r>
          <m:t>i</m:t>
        </m:r>
        <m:r>
          <m:t>t</m:t>
        </m:r>
        <m:r>
          <m:t>m</m:t>
        </m:r>
        <m:r>
          <m:t>e</m:t>
        </m:r>
        <m:r>
          <m:t>a</m:t>
        </m:r>
        <m:r>
          <m:t>n</m:t>
        </m:r>
        <m:r>
          <m:t>s</m:t>
        </m:r>
        <m:r>
          <m:t>t</m:t>
        </m:r>
        <m:r>
          <m:t>h</m:t>
        </m:r>
        <m:r>
          <m:t>e</m:t>
        </m:r>
        <m:r>
          <m:t>c</m:t>
        </m:r>
        <m:r>
          <m:t>o</m:t>
        </m:r>
        <m:r>
          <m:t>m</m:t>
        </m:r>
        <m:r>
          <m:t>p</m:t>
        </m:r>
        <m:r>
          <m:t>a</m:t>
        </m:r>
        <m:r>
          <m:t>n</m:t>
        </m:r>
        <m:r>
          <m:t>y</m:t>
        </m:r>
        <m:r>
          <m:t>n</m:t>
        </m:r>
        <m:r>
          <m:t>e</m:t>
        </m:r>
        <m:r>
          <m:t>e</m:t>
        </m:r>
        <m:r>
          <m:t>d</m:t>
        </m:r>
        <m:r>
          <m:t>s</m:t>
        </m:r>
        <m:r>
          <m:t>t</m:t>
        </m:r>
        <m:r>
          <m:t>o</m:t>
        </m:r>
        <m:r>
          <m:t>g</m:t>
        </m:r>
        <m:r>
          <m:t>e</m:t>
        </m:r>
        <m:r>
          <m:t>n</m:t>
        </m:r>
        <m:r>
          <m:t>e</m:t>
        </m:r>
        <m:r>
          <m:t>r</m:t>
        </m:r>
        <m:r>
          <m:t>a</m:t>
        </m:r>
        <m:r>
          <m:t>t</m:t>
        </m:r>
        <m:r>
          <m:t>e</m:t>
        </m:r>
        <m:r>
          <m:t>r</m:t>
        </m:r>
        <m:r>
          <m:t>o</m:t>
        </m:r>
        <m:r>
          <m:t>u</m:t>
        </m:r>
        <m:r>
          <m:t>g</m:t>
        </m:r>
        <m:r>
          <m:t>h</m:t>
        </m:r>
        <m:r>
          <m:t>l</m:t>
        </m:r>
        <m:r>
          <m:t>y</m:t>
        </m:r>
        <m:r>
          <m:rPr>
            <m:sty m:val="p"/>
          </m:rPr>
          <m:t>*</m:t>
        </m:r>
        <m:r>
          <m:rPr>
            <m:sty m:val="p"/>
          </m:rPr>
          <m:t>*</m:t>
        </m:r>
      </m:oMath>
      <w:r>
        <w:t xml:space="preserve">1 billion of free cash flow in the back half of 2026** to hit its full-year guide.</w:t>
      </w:r>
    </w:p>
    <w:p>
      <w:pPr>
        <w:pStyle w:val="Compact"/>
        <w:numPr>
          <w:ilvl w:val="0"/>
          <w:numId w:val="1002"/>
        </w:numPr>
      </w:pPr>
      <w:r>
        <w:t xml:space="preserve">New awards of $4.0 billion brought backlog to a record $54.0 billion.</w:t>
      </w:r>
    </w:p>
    <w:p>
      <w:pPr>
        <w:pStyle w:val="Compact"/>
        <w:numPr>
          <w:ilvl w:val="0"/>
          <w:numId w:val="1002"/>
        </w:numPr>
      </w:pPr>
      <w:r>
        <w:t xml:space="preserve">Management reaffirmed full-year 2026 guidance: shipbuilding revenue of</w:t>
      </w:r>
      <w:r>
        <w:t xml:space="preserve"> </w:t>
      </w:r>
      <m:oMath>
        <m:r>
          <m:t>9.7</m:t>
        </m:r>
        <m:r>
          <m:rPr>
            <m:sty m:val="p"/>
          </m:rPr>
          <m:t>–</m:t>
        </m:r>
      </m:oMath>
      <w:r>
        <w:t xml:space="preserve">9.9 billion (5.5–6.5% margin), Mission Technologies revenue of</w:t>
      </w:r>
      <w:r>
        <w:t xml:space="preserve"> </w:t>
      </w:r>
      <m:oMath>
        <m:r>
          <m:t>3.0</m:t>
        </m:r>
        <m:r>
          <m:rPr>
            <m:sty m:val="p"/>
          </m:rPr>
          <m:t>–</m:t>
        </m:r>
      </m:oMath>
      <w:r>
        <w:t xml:space="preserve">3.2 billion (~5% margin), and free cash flow of</w:t>
      </w:r>
      <w:r>
        <w:t xml:space="preserve"> </w:t>
      </w:r>
      <m:oMath>
        <m:r>
          <m:t>500</m:t>
        </m:r>
        <m:r>
          <m:rPr>
            <m:sty m:val="p"/>
          </m:rPr>
          <m:t>–</m:t>
        </m:r>
      </m:oMath>
      <w:r>
        <w:t xml:space="preserve">600 million.</w:t>
      </w:r>
    </w:p>
    <w:p>
      <w:pPr>
        <w:pStyle w:val="Compact"/>
        <w:numPr>
          <w:ilvl w:val="0"/>
          <w:numId w:val="1002"/>
        </w:numPr>
      </w:pPr>
      <w:r>
        <w:t xml:space="preserve">For Q2 specifically, management guided to ~</w:t>
      </w:r>
      <m:oMath>
        <m:r>
          <m:t>2.4</m:t>
        </m:r>
        <m:r>
          <m:t>b</m:t>
        </m:r>
        <m:r>
          <m:t>i</m:t>
        </m:r>
        <m:r>
          <m:t>l</m:t>
        </m:r>
        <m:r>
          <m:t>l</m:t>
        </m:r>
        <m:r>
          <m:t>i</m:t>
        </m:r>
        <m:r>
          <m:t>o</m:t>
        </m:r>
        <m:r>
          <m:t>n</m:t>
        </m:r>
        <m:r>
          <m:t>s</m:t>
        </m:r>
        <m:r>
          <m:t>h</m:t>
        </m:r>
        <m:r>
          <m:t>i</m:t>
        </m:r>
        <m:r>
          <m:t>p</m:t>
        </m:r>
        <m:r>
          <m:t>b</m:t>
        </m:r>
        <m:r>
          <m:t>u</m:t>
        </m:r>
        <m:r>
          <m:t>i</m:t>
        </m:r>
        <m:r>
          <m:t>l</m:t>
        </m:r>
        <m:r>
          <m:t>d</m:t>
        </m:r>
        <m:r>
          <m:t>i</m:t>
        </m:r>
        <m:r>
          <m:t>n</m:t>
        </m:r>
        <m:r>
          <m:t>g</m:t>
        </m:r>
        <m:r>
          <m:t>r</m:t>
        </m:r>
        <m:r>
          <m:t>e</m:t>
        </m:r>
        <m:r>
          <m:t>v</m:t>
        </m:r>
        <m:r>
          <m:t>e</m:t>
        </m:r>
        <m:r>
          <m:t>n</m:t>
        </m:r>
        <m:r>
          <m:t>u</m:t>
        </m:r>
        <m:r>
          <m:t>e</m:t>
        </m:r>
        <m:r>
          <m:rPr>
            <m:sty m:val="p"/>
          </m:rPr>
          <m:t>(</m:t>
        </m:r>
        <m:r>
          <m:t>5.7</m:t>
        </m:r>
        <m:r>
          <m:rPr>
            <m:sty m:val="p"/>
          </m:rPr>
          <m:t>–</m:t>
        </m:r>
        <m:r>
          <m:t>6.0</m:t>
        </m:r>
      </m:oMath>
      <w:r>
        <w:t xml:space="preserve">750 million Mission Technologies revenue (~4% margin, reflecting continued unmanned-systems investment), and free cash flow between -</w:t>
      </w:r>
      <m:oMath>
        <m:r>
          <m:t>100</m:t>
        </m:r>
        <m:r>
          <m:t>m</m:t>
        </m:r>
        <m:r>
          <m:t>i</m:t>
        </m:r>
        <m:r>
          <m:t>l</m:t>
        </m:r>
        <m:r>
          <m:t>l</m:t>
        </m:r>
        <m:r>
          <m:t>i</m:t>
        </m:r>
        <m:r>
          <m:t>o</m:t>
        </m:r>
        <m:r>
          <m:t>n</m:t>
        </m:r>
        <m:r>
          <m:t>a</m:t>
        </m:r>
        <m:r>
          <m:t>n</m:t>
        </m:r>
        <m:r>
          <m:t>d</m:t>
        </m:r>
        <m:r>
          <m:rPr>
            <m:sty m:val="p"/>
          </m:rPr>
          <m:t>+</m:t>
        </m:r>
      </m:oMath>
      <w:r>
        <w:t xml:space="preserve">100 million.</w:t>
      </w:r>
    </w:p>
    <w:bookmarkEnd w:id="11"/>
    <w:bookmarkStart w:id="12" w:name="Xb494a277ccbdd279268ba13a7c2c2ca7ad71ca5"/>
    <w:p>
      <w:pPr>
        <w:pStyle w:val="Heading2"/>
      </w:pPr>
      <w:r>
        <w:t xml:space="preserve">The Big Overhang: Submarine Contracts — Just Resolved?</w:t>
      </w:r>
    </w:p>
    <w:p>
      <w:pPr>
        <w:pStyle w:val="FirstParagraph"/>
      </w:pPr>
      <w:r>
        <w:t xml:space="preserve">The single most-watched issue on recent HII calls has been the long-delayed</w:t>
      </w:r>
      <w:r>
        <w:t xml:space="preserve"> </w:t>
      </w:r>
      <w:r>
        <w:rPr>
          <w:b/>
          <w:bCs/>
        </w:rPr>
        <w:t xml:space="preserve">multiship Virginia-class Block VI / Columbia-class Build II submarine contracts</w:t>
      </w:r>
      <w:r>
        <w:t xml:space="preserve"> </w:t>
      </w:r>
      <w:r>
        <w:t xml:space="preserve">(covering 15 boats total), which have dragged on for years amid cost negotiations. Just two days before this earnings call, on</w:t>
      </w:r>
      <w:r>
        <w:t xml:space="preserve"> </w:t>
      </w:r>
      <w:r>
        <w:rPr>
          <w:b/>
          <w:bCs/>
        </w:rPr>
        <w:t xml:space="preserve">July 28, 2026, the Pentagon's acquisition chief certified statutory approval</w:t>
      </w:r>
      <w:r>
        <w:t xml:space="preserve"> </w:t>
      </w:r>
      <w:r>
        <w:t xml:space="preserve">for the Navy to negotiate a multiyear procurement of</w:t>
      </w:r>
      <w:r>
        <w:t xml:space="preserve"> </w:t>
      </w:r>
      <w:r>
        <w:rPr>
          <w:b/>
          <w:bCs/>
        </w:rPr>
        <w:t xml:space="preserve">nine Block VI Virginia-class submarines</w:t>
      </w:r>
      <w:r>
        <w:t xml:space="preserve"> </w:t>
      </w:r>
      <w:r>
        <w:t xml:space="preserve">with General Dynamics Electric Boat, HII's teaming partner on the program, with the deal expected to generate roughly $2.4 billion in savings versus buying the boats one at a time. This is a major, very fresh catalyst — investors will want clarity tomorrow on:</w:t>
      </w:r>
    </w:p>
    <w:p>
      <w:pPr>
        <w:pStyle w:val="Compact"/>
        <w:numPr>
          <w:ilvl w:val="0"/>
          <w:numId w:val="1003"/>
        </w:numPr>
      </w:pPr>
      <w:r>
        <w:t xml:space="preserve">Whether/when a definitized contract (and the analogous Columbia Build II award) will actually be signed, and what it means for</w:t>
      </w:r>
      <w:r>
        <w:t xml:space="preserve"> </w:t>
      </w:r>
      <w:r>
        <w:rPr>
          <w:b/>
          <w:bCs/>
        </w:rPr>
        <w:t xml:space="preserve">Newport News's</w:t>
      </w:r>
      <w:r>
        <w:t xml:space="preserve"> </w:t>
      </w:r>
      <w:r>
        <w:t xml:space="preserve">share of the work.</w:t>
      </w:r>
    </w:p>
    <w:p>
      <w:pPr>
        <w:pStyle w:val="Compact"/>
        <w:numPr>
          <w:ilvl w:val="0"/>
          <w:numId w:val="1003"/>
        </w:numPr>
      </w:pPr>
      <w:r>
        <w:t xml:space="preserve">Margin and cash-collection implications flagged by CFO Tom Stiehle last quarter as a factored-but-uncertain input to guidance.</w:t>
      </w:r>
    </w:p>
    <w:p>
      <w:pPr>
        <w:pStyle w:val="Compact"/>
        <w:numPr>
          <w:ilvl w:val="0"/>
          <w:numId w:val="1003"/>
        </w:numPr>
      </w:pPr>
      <w:r>
        <w:t xml:space="preserve">Whether getting boats formally under contract also resolves near-term scheduling/sequencing risk that has weighed on submarine program execution.</w:t>
      </w:r>
    </w:p>
    <w:bookmarkEnd w:id="12"/>
    <w:bookmarkStart w:id="13" w:name="other-key-things-to-watch-on-the-call"/>
    <w:p>
      <w:pPr>
        <w:pStyle w:val="Heading2"/>
      </w:pPr>
      <w:r>
        <w:t xml:space="preserve">Other Key Things to Watch on the Call</w:t>
      </w:r>
    </w:p>
    <w:p>
      <w:pPr>
        <w:pStyle w:val="Compact"/>
        <w:numPr>
          <w:ilvl w:val="0"/>
          <w:numId w:val="1004"/>
        </w:numPr>
      </w:pPr>
      <w:r>
        <w:rPr>
          <w:b/>
          <w:bCs/>
        </w:rPr>
        <w:t xml:space="preserve">Ingalls margin trajectory</w:t>
      </w:r>
      <w:r>
        <w:t xml:space="preserve"> </w:t>
      </w:r>
      <w:r>
        <w:t xml:space="preserve">— Q1's dip to 6.8% was framed by CEO Chris Kastner as a "pacing quarter" tied to an LHA-8 test-program adjustment; watch for confirmation that DDG-51 destroyer programs and LPD amphibious ships are stabilizing, and for early read-through from the new Ingalls collective bargaining agreement (ratified through 2031) on attrition and cost.</w:t>
      </w:r>
    </w:p>
    <w:p>
      <w:pPr>
        <w:pStyle w:val="Compact"/>
        <w:numPr>
          <w:ilvl w:val="0"/>
          <w:numId w:val="1004"/>
        </w:numPr>
      </w:pPr>
      <w:r>
        <w:rPr>
          <w:b/>
          <w:bCs/>
        </w:rPr>
        <w:t xml:space="preserve">Newport News carrier execution</w:t>
      </w:r>
      <w:r>
        <w:t xml:space="preserve"> </w:t>
      </w:r>
      <w:r>
        <w:t xml:space="preserve">— CVN 79 (Kennedy) completed builder's sea trials in Q1 and is tracking toward acceptance trials later this year; CVN 80 is over 50% erected; investors will look for signs the carrier program's schedule/cost performance is stabilizing after a couple of quarters of adjustments.</w:t>
      </w:r>
    </w:p>
    <w:p>
      <w:pPr>
        <w:pStyle w:val="Compact"/>
        <w:numPr>
          <w:ilvl w:val="0"/>
          <w:numId w:val="1004"/>
        </w:numPr>
      </w:pPr>
      <w:r>
        <w:rPr>
          <w:b/>
          <w:bCs/>
        </w:rPr>
        <w:t xml:space="preserve">Mission Technologies margin drag from strategic investment</w:t>
      </w:r>
      <w:r>
        <w:t xml:space="preserve"> </w:t>
      </w:r>
      <w:r>
        <w:t xml:space="preserve">— segment margin fell to 4.7% in Q1 (guided ~4% in Q2) as HII invests in autonomy/unmanned systems (Odyssey software, ROMULUS USV family, Lionfish UUV). Management has said material revenue contribution from unmanned is a multi-year story, not immediate — watch for any acceleration signals given rising FY26/FY27 budget requests for autonomous systems.</w:t>
      </w:r>
    </w:p>
    <w:p>
      <w:pPr>
        <w:pStyle w:val="Compact"/>
        <w:numPr>
          <w:ilvl w:val="0"/>
          <w:numId w:val="1004"/>
        </w:numPr>
      </w:pPr>
      <w:r>
        <w:rPr>
          <w:b/>
          <w:bCs/>
        </w:rPr>
        <w:t xml:space="preserve">Free cash flow cadence</w:t>
      </w:r>
      <w:r>
        <w:t xml:space="preserve"> </w:t>
      </w:r>
      <w:r>
        <w:t xml:space="preserve">— with ~$1 billion of FCF needed in 2H26 to hit the</w:t>
      </w:r>
      <w:r>
        <w:t xml:space="preserve"> </w:t>
      </w:r>
      <m:oMath>
        <m:r>
          <m:t>500</m:t>
        </m:r>
        <m:r>
          <m:rPr>
            <m:sty m:val="p"/>
          </m:rPr>
          <m:t>–</m:t>
        </m:r>
        <m:r>
          <m:t>600</m:t>
        </m:r>
        <m:r>
          <m:t>m</m:t>
        </m:r>
        <m:r>
          <m:t>i</m:t>
        </m:r>
        <m:r>
          <m:t>l</m:t>
        </m:r>
        <m:r>
          <m:t>l</m:t>
        </m:r>
        <m:r>
          <m:t>i</m:t>
        </m:r>
        <m:r>
          <m:t>o</m:t>
        </m:r>
        <m:r>
          <m:t>n</m:t>
        </m:r>
        <m:r>
          <m:t>f</m:t>
        </m:r>
        <m:r>
          <m:t>u</m:t>
        </m:r>
        <m:r>
          <m:t>l</m:t>
        </m:r>
        <m:r>
          <m:t>l</m:t>
        </m:r>
        <m:r>
          <m:rPr>
            <m:sty m:val="p"/>
          </m:rPr>
          <m:t>−</m:t>
        </m:r>
        <m:r>
          <m:t>y</m:t>
        </m:r>
        <m:r>
          <m:t>e</m:t>
        </m:r>
        <m:r>
          <m:t>a</m:t>
        </m:r>
        <m:r>
          <m:t>r</m:t>
        </m:r>
        <m:r>
          <m:t>t</m:t>
        </m:r>
        <m:r>
          <m:t>a</m:t>
        </m:r>
        <m:r>
          <m:t>r</m:t>
        </m:r>
        <m:r>
          <m:t>g</m:t>
        </m:r>
        <m:r>
          <m:t>e</m:t>
        </m:r>
        <m:r>
          <m:t>t</m:t>
        </m:r>
        <m:r>
          <m:rPr>
            <m:sty m:val="p"/>
          </m:rPr>
          <m:t>,</m:t>
        </m:r>
        <m:r>
          <m:t>Q</m:t>
        </m:r>
        <m:sSup>
          <m:e>
            <m:r>
              <m:t>2</m:t>
            </m:r>
          </m:e>
          <m:sup>
            <m:r>
              <m:rPr>
                <m:sty m:val="p"/>
              </m:rPr>
              <m:t>′</m:t>
            </m:r>
          </m:sup>
        </m:sSup>
        <m:r>
          <m:t>s</m:t>
        </m:r>
        <m:r>
          <m:t>g</m:t>
        </m:r>
        <m:r>
          <m:t>u</m:t>
        </m:r>
        <m:r>
          <m:t>i</m:t>
        </m:r>
        <m:r>
          <m:t>d</m:t>
        </m:r>
        <m:r>
          <m:t>e</m:t>
        </m:r>
        <m:r>
          <m:t>d</m:t>
        </m:r>
        <m:r>
          <m:t>r</m:t>
        </m:r>
        <m:r>
          <m:t>a</m:t>
        </m:r>
        <m:r>
          <m:t>n</m:t>
        </m:r>
        <m:r>
          <m:t>g</m:t>
        </m:r>
        <m:r>
          <m:t>e</m:t>
        </m:r>
        <m:r>
          <m:rPr>
            <m:sty m:val="p"/>
          </m:rPr>
          <m:t>(</m:t>
        </m:r>
        <m:r>
          <m:rPr>
            <m:sty m:val="p"/>
          </m:rPr>
          <m:t>−</m:t>
        </m:r>
      </m:oMath>
      <w:r>
        <w:t xml:space="preserve">100M to +$100M) and any updated confidence level matter for the stock, especially given negative FCF prints have been a swing factor for sentiment.</w:t>
      </w:r>
    </w:p>
    <w:p>
      <w:pPr>
        <w:pStyle w:val="Compact"/>
        <w:numPr>
          <w:ilvl w:val="0"/>
          <w:numId w:val="1004"/>
        </w:numPr>
      </w:pPr>
      <w:r>
        <w:rPr>
          <w:b/>
          <w:bCs/>
        </w:rPr>
        <w:t xml:space="preserve">Labor/throughput initiatives</w:t>
      </w:r>
      <w:r>
        <w:t xml:space="preserve"> </w:t>
      </w:r>
      <w:r>
        <w:t xml:space="preserve">— HII's plan to grow shipbuilding throughput ~15% and outsourcing hours ~30% in 2026 (including doubling Charleston facility throughput) is central to the medium-term growth algorithm; hiring, apprentice graduation, and attrition metrics will be updated.</w:t>
      </w:r>
    </w:p>
    <w:p>
      <w:pPr>
        <w:pStyle w:val="Compact"/>
        <w:numPr>
          <w:ilvl w:val="0"/>
          <w:numId w:val="1004"/>
        </w:numPr>
      </w:pPr>
      <w:r>
        <w:rPr>
          <w:b/>
          <w:bCs/>
        </w:rPr>
        <w:t xml:space="preserve">Capital allocation</w:t>
      </w:r>
      <w:r>
        <w:t xml:space="preserve"> </w:t>
      </w:r>
      <w:r>
        <w:t xml:space="preserve">— no share repurchases occurred in Q1; watch whether buyback activity resumes given the stock's substantial pullback, alongside the $1.38/share quarterly dividend.</w:t>
      </w:r>
    </w:p>
    <w:p>
      <w:pPr>
        <w:pStyle w:val="Compact"/>
        <w:numPr>
          <w:ilvl w:val="0"/>
          <w:numId w:val="1004"/>
        </w:numPr>
      </w:pPr>
      <w:r>
        <w:rPr>
          <w:b/>
          <w:bCs/>
        </w:rPr>
        <w:t xml:space="preserve">Medium-term upside optionality</w:t>
      </w:r>
      <w:r>
        <w:t xml:space="preserve"> </w:t>
      </w:r>
      <w:r>
        <w:t xml:space="preserve">— management has flagged the new</w:t>
      </w:r>
      <w:r>
        <w:t xml:space="preserve"> </w:t>
      </w:r>
      <w:r>
        <w:rPr>
          <w:b/>
          <w:bCs/>
        </w:rPr>
        <w:t xml:space="preserve">Trump-class battleship (USS Defiant)</w:t>
      </w:r>
      <w:r>
        <w:t xml:space="preserve"> </w:t>
      </w:r>
      <w:r>
        <w:t xml:space="preserve">and</w:t>
      </w:r>
      <w:r>
        <w:t xml:space="preserve"> </w:t>
      </w:r>
      <w:r>
        <w:rPr>
          <w:b/>
          <w:bCs/>
        </w:rPr>
        <w:t xml:space="preserve">FFX frigate</w:t>
      </w:r>
      <w:r>
        <w:t xml:space="preserve"> </w:t>
      </w:r>
      <w:r>
        <w:t xml:space="preserve">programs, plus a strong FY2027 Navy budget request (~$65.8 billion, up nearly 40% from FY2026), as upside not yet embedded in guidance; any incremental detail on timing/dollar scope would be notable.</w:t>
      </w:r>
    </w:p>
    <w:bookmarkEnd w:id="13"/>
    <w:bookmarkStart w:id="14" w:name="peersector-context"/>
    <w:p>
      <w:pPr>
        <w:pStyle w:val="Heading2"/>
      </w:pPr>
      <w:r>
        <w:t xml:space="preserve">Peer/Sector Context</w:t>
      </w:r>
    </w:p>
    <w:p>
      <w:pPr>
        <w:pStyle w:val="FirstParagraph"/>
      </w:pPr>
      <w:r>
        <w:t xml:space="preserve">General Dynamics — HII's primary competitor in submarines and a bellwether for the group — is also expected to report similar timeframe results, with consensus looking for EPS of about $3.95 (+5.6% y/y) on revenue of about $13.49 billion (+3.4% y/y), giving investors a read-through comparison for submarine-program health and defense-budget execution more broadly.</w:t>
      </w:r>
    </w:p>
    <w:bookmarkEnd w:id="14"/>
    <w:bookmarkStart w:id="15" w:name="bottom-line"/>
    <w:p>
      <w:pPr>
        <w:pStyle w:val="Heading2"/>
      </w:pPr>
      <w:r>
        <w:t xml:space="preserve">Bottom Line</w:t>
      </w:r>
    </w:p>
    <w:p>
      <w:pPr>
        <w:pStyle w:val="FirstParagraph"/>
      </w:pPr>
      <w:r>
        <w:t xml:space="preserve">HII goes into this print as a show-me story: revenue growth has been consistently strong (three straight quarters of double-digit shipbuilding growth), backlog is at a record $54 billion, and the long-awaited submarine mega-contract appears to have finally cleared a key government hurdle just days before the call. But margin execution (especially at Ingalls and on the carrier program), the pace of free-cash-flow generation, and the return on Mission Technologies' unmanned-systems investment remain the swing factors that have driven the stock's sharp de-rating since March. With expectations already reset lower (flat-to-down y/y EPS expected for the quarter) and sell-side targets trimmed, the bar for a positive surprise may be more about tone on 2H26 cash flow and submarine-contract details than about the headline revenue/EPS numbers themselves.</w:t>
      </w:r>
    </w:p>
    <w:bookmarkEnd w:id="15"/>
    <w:bookmarkEnd w:id="16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2026-07-29T18:45:41Z</dcterms:created>
  <dcterms:modified xsi:type="dcterms:W3CDTF">2026-07-29T18:45:41Z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