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i-earnings-predictions--2026-07-30"/>
    <w:p>
      <w:pPr>
        <w:pStyle w:val="Heading1"/>
      </w:pPr>
      <w:r>
        <w:t xml:space="preserve">HII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~$3.70 vs. cons $3.83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~$3.16B vs. cons $3.15B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~5.70% vs. cons 5.85%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midpoint vs. cons $550M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Shipbuilding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~$9.80B midpoint vs. cons $9.85B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~6.00% midpoint vs. cons 6.00%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Virginia- and Columbia-class contract awards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 awards in 2H2026 vs. cons 2 awards by 2Q2026 (contract timing)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-6.2% (FOLLOW-THROUGH)</w:t>
            </w:r>
          </w:p>
        </w:tc>
        <w:tc>
          <w:tcPr/>
          <w:p>
            <w:pPr>
              <w:pStyle w:val="Compact"/>
            </w:pPr>
            <w:r>
              <w:t xml:space="preserve">Day-5 residual ~-6.2% vs. day-1 residual ~-4.8%; an EPS and shipbuilding-margin miss plus submarine-award slippage would reduce confidence in second-half collections, leaving the unchanged ~$550M FY2026 free-cash-flow midpoint vulnerable to estimate cuts despite an in-line revenue result.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2026-07-29T18:40:42Z</dcterms:created>
  <dcterms:modified xsi:type="dcterms:W3CDTF">2026-07-29T18:40:42Z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