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hii-2026q2-earnings-preview"/>
    <w:p>
      <w:pPr>
        <w:pStyle w:val="Heading1"/>
      </w:pPr>
      <w:r>
        <w:t xml:space="preserve">HII 2026Q2 Earnings Preview</w:t>
      </w:r>
    </w:p>
    <w:p>
      <w:pPr>
        <w:pStyle w:val="FirstParagraph"/>
      </w:pPr>
      <w:r>
        <w:rPr>
          <w:b/>
          <w:bCs/>
        </w:rPr>
        <w:t xml:space="preserve">Report date:</w:t>
      </w:r>
      <w:r>
        <w:t xml:space="preserve"> </w:t>
      </w:r>
      <w:r>
        <w:t xml:space="preserve">July 30, 2026, before market open</w:t>
      </w:r>
      <w:r>
        <w:br/>
      </w:r>
      <w:r>
        <w:rPr>
          <w:b/>
          <w:bCs/>
        </w:rPr>
        <w:t xml:space="preserve">Conference call:</w:t>
      </w:r>
      <w:r>
        <w:t xml:space="preserve"> </w:t>
      </w:r>
      <w:r>
        <w:t xml:space="preserve">9:00 a.m. ET</w:t>
      </w:r>
      <w:r>
        <w:br/>
      </w:r>
      <w:r>
        <w:rPr>
          <w:b/>
          <w:bCs/>
        </w:rPr>
        <w:t xml:space="preserve">Current share price:</w:t>
      </w:r>
      <w:r>
        <w:t xml:space="preserve"> </w:t>
      </w:r>
      <w:r>
        <w:t xml:space="preserve">approximately</w:t>
      </w:r>
      <w:r>
        <w:t xml:space="preserve"> </w:t>
      </w:r>
      <w:r>
        <w:rPr>
          <w:b/>
          <w:bCs/>
        </w:rPr>
        <w:t xml:space="preserve">$286</w:t>
      </w:r>
      <w:r>
        <w:t xml:space="preserve"> </w:t>
      </w:r>
      <w:r>
        <w:t xml:space="preserve">as of July 29</w:t>
      </w:r>
    </w:p>
    <w:bookmarkStart w:id="9" w:name="investment-view-going-into-the-print"/>
    <w:p>
      <w:pPr>
        <w:pStyle w:val="Heading2"/>
      </w:pPr>
      <w:r>
        <w:t xml:space="preserve">Investment view going into the print</w:t>
      </w:r>
    </w:p>
    <w:p>
      <w:pPr>
        <w:pStyle w:val="FirstParagraph"/>
      </w:pPr>
      <w:r>
        <w:t xml:space="preserve">For HII, the headline EPS result is unlikely to be the main event. The more consequential questions are whether the company is:</w:t>
      </w:r>
    </w:p>
    <w:p>
      <w:pPr>
        <w:pStyle w:val="Compact"/>
        <w:numPr>
          <w:ilvl w:val="0"/>
          <w:numId w:val="1001"/>
        </w:numPr>
      </w:pPr>
      <w:r>
        <w:t xml:space="preserve">Sustaining the sharp improvement in shipbuilding throughput;</w:t>
      </w:r>
    </w:p>
    <w:p>
      <w:pPr>
        <w:pStyle w:val="Compact"/>
        <w:numPr>
          <w:ilvl w:val="0"/>
          <w:numId w:val="1001"/>
        </w:numPr>
      </w:pPr>
      <w:r>
        <w:t xml:space="preserve">Avoiding further negative contract adjustments at Newport News and Ingalls;</w:t>
      </w:r>
    </w:p>
    <w:p>
      <w:pPr>
        <w:pStyle w:val="Compact"/>
        <w:numPr>
          <w:ilvl w:val="0"/>
          <w:numId w:val="1001"/>
        </w:numPr>
      </w:pPr>
      <w:r>
        <w:t xml:space="preserve">Finalizing the next Virginia- and Columbia-class submarine agreements;</w:t>
      </w:r>
    </w:p>
    <w:p>
      <w:pPr>
        <w:pStyle w:val="Compact"/>
        <w:numPr>
          <w:ilvl w:val="0"/>
          <w:numId w:val="1001"/>
        </w:numPr>
      </w:pPr>
      <w:r>
        <w:t xml:space="preserve">Preserving its</w:t>
      </w:r>
      <w:r>
        <w:t xml:space="preserve"> </w:t>
      </w:r>
      <m:oMath>
        <m:r>
          <m:t>500</m:t>
        </m:r>
        <m:r>
          <m:t>m</m:t>
        </m:r>
        <m:r>
          <m:t>i</m:t>
        </m:r>
        <m:r>
          <m:t>l</m:t>
        </m:r>
        <m:r>
          <m:t>l</m:t>
        </m:r>
        <m:r>
          <m:t>i</m:t>
        </m:r>
        <m:r>
          <m:t>o</m:t>
        </m:r>
        <m:r>
          <m:t>n</m:t>
        </m:r>
        <m:r>
          <m:rPr>
            <m:sty m:val="p"/>
          </m:rPr>
          <m:t>–</m:t>
        </m:r>
      </m:oMath>
      <w:r>
        <w:rPr>
          <w:b/>
          <w:bCs/>
        </w:rPr>
        <w:t xml:space="preserve">600 million</w:t>
      </w:r>
      <w:r>
        <w:t xml:space="preserve"> </w:t>
      </w:r>
      <w:r>
        <w:t xml:space="preserve">full-year free-cash-flow target; and</w:t>
      </w:r>
    </w:p>
    <w:p>
      <w:pPr>
        <w:pStyle w:val="Compact"/>
        <w:numPr>
          <w:ilvl w:val="0"/>
          <w:numId w:val="1001"/>
        </w:numPr>
      </w:pPr>
      <w:r>
        <w:t xml:space="preserve">Keeping the 2026 delivery schedule intact.</w:t>
      </w:r>
    </w:p>
    <w:p>
      <w:pPr>
        <w:pStyle w:val="FirstParagraph"/>
      </w:pPr>
      <w:r>
        <w:t xml:space="preserve">The setup is mixed but potentially favorable. Shipbuilding demand and backlog remain strong, and recent operating milestones suggest distributed production is gaining traction. However, margins remain depressed, several large programs are in difficult construction or testing phases, and almost all of the year’s cash generation is still expected in the second half.</w:t>
      </w:r>
    </w:p>
    <w:p>
      <w:pPr>
        <w:pStyle w:val="BodyText"/>
      </w:pPr>
      <w:r>
        <w:t xml:space="preserve">With the shares down roughly</w:t>
      </w:r>
      <w:r>
        <w:t xml:space="preserve"> </w:t>
      </w:r>
      <w:r>
        <w:rPr>
          <w:b/>
          <w:bCs/>
        </w:rPr>
        <w:t xml:space="preserve">16% from year-end 2025</w:t>
      </w:r>
      <w:r>
        <w:t xml:space="preserve"> </w:t>
      </w:r>
      <w:r>
        <w:t xml:space="preserve">and more than</w:t>
      </w:r>
      <w:r>
        <w:t xml:space="preserve"> </w:t>
      </w:r>
      <w:r>
        <w:rPr>
          <w:b/>
          <w:bCs/>
        </w:rPr>
        <w:t xml:space="preserve">20% from immediately before the first-quarter report</w:t>
      </w:r>
      <w:r>
        <w:t xml:space="preserve">, expectations have reset materially.</w:t>
      </w:r>
    </w:p>
    <w:bookmarkEnd w:id="9"/>
    <w:bookmarkStart w:id="11"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2026Q2 expectation/guidance</w:t>
            </w:r>
          </w:p>
        </w:tc>
        <w:tc>
          <w:tcPr/>
          <w:p>
            <w:pPr>
              <w:pStyle w:val="Compact"/>
              <w:jc w:val="right"/>
            </w:pPr>
            <w:r>
              <w:t xml:space="preserve">2025Q2 actual</w:t>
            </w:r>
          </w:p>
        </w:tc>
      </w:tr>
      <w:tr>
        <w:tc>
          <w:tcPr/>
          <w:p>
            <w:pPr>
              <w:pStyle w:val="Compact"/>
            </w:pPr>
            <w:r>
              <w:t xml:space="preserve">Revenue</w:t>
            </w:r>
          </w:p>
        </w:tc>
        <w:tc>
          <w:tcPr/>
          <w:p>
            <w:pPr>
              <w:pStyle w:val="Compact"/>
              <w:jc w:val="right"/>
            </w:pPr>
            <w:r>
              <w:t xml:space="preserve">Consensus approximately</w:t>
            </w:r>
            <w:r>
              <w:t xml:space="preserve"> </w:t>
            </w:r>
            <w:r>
              <w:rPr>
                <w:b/>
                <w:bCs/>
              </w:rPr>
              <w:t xml:space="preserve">$3.15B</w:t>
            </w:r>
          </w:p>
        </w:tc>
        <w:tc>
          <w:tcPr/>
          <w:p>
            <w:pPr>
              <w:pStyle w:val="Compact"/>
              <w:jc w:val="right"/>
            </w:pPr>
            <w:r>
              <w:rPr>
                <w:b/>
                <w:bCs/>
              </w:rPr>
              <w:t xml:space="preserve">$3.08B</w:t>
            </w:r>
          </w:p>
        </w:tc>
      </w:tr>
      <w:tr>
        <w:tc>
          <w:tcPr/>
          <w:p>
            <w:pPr>
              <w:pStyle w:val="Compact"/>
            </w:pPr>
            <w:r>
              <w:t xml:space="preserve">Diluted EPS</w:t>
            </w:r>
          </w:p>
        </w:tc>
        <w:tc>
          <w:tcPr/>
          <w:p>
            <w:pPr>
              <w:pStyle w:val="Compact"/>
              <w:jc w:val="right"/>
            </w:pPr>
            <w:r>
              <w:t xml:space="preserve">Consensus approximately</w:t>
            </w:r>
            <w:r>
              <w:t xml:space="preserve"> </w:t>
            </w:r>
            <w:r>
              <w:rPr>
                <w:b/>
                <w:bCs/>
              </w:rPr>
              <w:t xml:space="preserve">$3.83</w:t>
            </w:r>
          </w:p>
        </w:tc>
        <w:tc>
          <w:tcPr/>
          <w:p>
            <w:pPr>
              <w:pStyle w:val="Compact"/>
              <w:jc w:val="right"/>
            </w:pPr>
            <w:r>
              <w:rPr>
                <w:b/>
                <w:bCs/>
              </w:rPr>
              <w:t xml:space="preserve">$3.86</w:t>
            </w:r>
          </w:p>
        </w:tc>
      </w:tr>
      <w:tr>
        <w:tc>
          <w:tcPr/>
          <w:p>
            <w:pPr>
              <w:pStyle w:val="Compact"/>
            </w:pPr>
            <w:r>
              <w:t xml:space="preserve">Shipbuilding revenue</w:t>
            </w:r>
          </w:p>
        </w:tc>
        <w:tc>
          <w:tcPr/>
          <w:p>
            <w:pPr>
              <w:pStyle w:val="Compact"/>
              <w:jc w:val="right"/>
            </w:pPr>
            <w:r>
              <w:t xml:space="preserve">Management: approximately</w:t>
            </w:r>
            <w:r>
              <w:t xml:space="preserve"> </w:t>
            </w:r>
            <w:r>
              <w:rPr>
                <w:b/>
                <w:bCs/>
              </w:rPr>
              <w:t xml:space="preserve">$2.4B</w:t>
            </w:r>
          </w:p>
        </w:tc>
        <w:tc>
          <w:tcPr/>
          <w:p>
            <w:pPr>
              <w:pStyle w:val="Compact"/>
              <w:jc w:val="right"/>
            </w:pPr>
            <w:r>
              <w:rPr>
                <w:b/>
                <w:bCs/>
              </w:rPr>
              <w:t xml:space="preserve">$2.33B</w:t>
            </w:r>
          </w:p>
        </w:tc>
      </w:tr>
      <w:tr>
        <w:tc>
          <w:tcPr/>
          <w:p>
            <w:pPr>
              <w:pStyle w:val="Compact"/>
            </w:pPr>
            <w:r>
              <w:t xml:space="preserve">Shipbuilding operating margin</w:t>
            </w:r>
          </w:p>
        </w:tc>
        <w:tc>
          <w:tcPr/>
          <w:p>
            <w:pPr>
              <w:pStyle w:val="Compact"/>
              <w:jc w:val="right"/>
            </w:pPr>
            <w:r>
              <w:t xml:space="preserve">Management:</w:t>
            </w:r>
            <w:r>
              <w:t xml:space="preserve"> </w:t>
            </w:r>
            <w:r>
              <w:rPr>
                <w:b/>
                <w:bCs/>
              </w:rPr>
              <w:t xml:space="preserve">5.7%–6.0%</w:t>
            </w:r>
          </w:p>
        </w:tc>
        <w:tc>
          <w:tcPr/>
          <w:p>
            <w:pPr>
              <w:pStyle w:val="Compact"/>
              <w:jc w:val="right"/>
            </w:pPr>
            <w:r>
              <w:rPr>
                <w:b/>
                <w:bCs/>
              </w:rPr>
              <w:t xml:space="preserve">5.8%</w:t>
            </w:r>
          </w:p>
        </w:tc>
      </w:tr>
      <w:tr>
        <w:tc>
          <w:tcPr/>
          <w:p>
            <w:pPr>
              <w:pStyle w:val="Compact"/>
            </w:pPr>
            <w:r>
              <w:t xml:space="preserve">Mission Technologies revenue</w:t>
            </w:r>
          </w:p>
        </w:tc>
        <w:tc>
          <w:tcPr/>
          <w:p>
            <w:pPr>
              <w:pStyle w:val="Compact"/>
              <w:jc w:val="right"/>
            </w:pPr>
            <w:r>
              <w:t xml:space="preserve">Management: approximately</w:t>
            </w:r>
            <w:r>
              <w:t xml:space="preserve"> </w:t>
            </w:r>
            <w:r>
              <w:rPr>
                <w:b/>
                <w:bCs/>
              </w:rPr>
              <w:t xml:space="preserve">$750M</w:t>
            </w:r>
          </w:p>
        </w:tc>
        <w:tc>
          <w:tcPr/>
          <w:p>
            <w:pPr>
              <w:pStyle w:val="Compact"/>
              <w:jc w:val="right"/>
            </w:pPr>
            <w:r>
              <w:rPr>
                <w:b/>
                <w:bCs/>
              </w:rPr>
              <w:t xml:space="preserve">$791M</w:t>
            </w:r>
          </w:p>
        </w:tc>
      </w:tr>
      <w:tr>
        <w:tc>
          <w:tcPr/>
          <w:p>
            <w:pPr>
              <w:pStyle w:val="Compact"/>
            </w:pPr>
            <w:r>
              <w:t xml:space="preserve">Mission Technologies operating margin</w:t>
            </w:r>
          </w:p>
        </w:tc>
        <w:tc>
          <w:tcPr/>
          <w:p>
            <w:pPr>
              <w:pStyle w:val="Compact"/>
              <w:jc w:val="right"/>
            </w:pPr>
            <w:r>
              <w:t xml:space="preserve">Management: approximately</w:t>
            </w:r>
            <w:r>
              <w:t xml:space="preserve"> </w:t>
            </w:r>
            <w:r>
              <w:rPr>
                <w:b/>
                <w:bCs/>
              </w:rPr>
              <w:t xml:space="preserve">4%</w:t>
            </w:r>
          </w:p>
        </w:tc>
        <w:tc>
          <w:tcPr/>
          <w:p>
            <w:pPr>
              <w:pStyle w:val="Compact"/>
              <w:jc w:val="right"/>
            </w:pPr>
            <w:r>
              <w:rPr>
                <w:b/>
                <w:bCs/>
              </w:rPr>
              <w:t xml:space="preserve">4.6%</w:t>
            </w:r>
          </w:p>
        </w:tc>
      </w:tr>
      <w:tr>
        <w:tc>
          <w:tcPr/>
          <w:p>
            <w:pPr>
              <w:pStyle w:val="Compact"/>
            </w:pPr>
            <w:r>
              <w:t xml:space="preserve">Free cash flow</w:t>
            </w:r>
          </w:p>
        </w:tc>
        <w:tc>
          <w:tcPr/>
          <w:p>
            <w:pPr>
              <w:pStyle w:val="Compact"/>
              <w:jc w:val="right"/>
            </w:pPr>
            <w:r>
              <w:t xml:space="preserve">Management:</w:t>
            </w:r>
            <w:r>
              <w:t xml:space="preserve"> </w:t>
            </w:r>
            <w:r>
              <w:rPr>
                <w:b/>
                <w:bCs/>
              </w:rPr>
              <w:t xml:space="preserve">-</w:t>
            </w:r>
            <m:oMath>
              <m:r>
                <m:t>100</m:t>
              </m:r>
              <m:r>
                <m:t>M</m:t>
              </m:r>
              <m:r>
                <m:t>t</m:t>
              </m:r>
              <m:r>
                <m:t>o</m:t>
              </m:r>
              <m:r>
                <m:rPr>
                  <m:sty m:val="p"/>
                </m:rPr>
                <m:t>+</m:t>
              </m:r>
            </m:oMath>
            <w:r>
              <w:rPr>
                <w:b/>
                <w:bCs/>
              </w:rPr>
              <w:t xml:space="preserve">100M</w:t>
            </w:r>
          </w:p>
        </w:tc>
        <w:tc>
          <w:tcPr/>
          <w:p>
            <w:pPr>
              <w:pStyle w:val="Compact"/>
              <w:jc w:val="right"/>
            </w:pPr>
            <w:r>
              <w:rPr>
                <w:b/>
                <w:bCs/>
              </w:rPr>
              <w:t xml:space="preserve">+$730M</w:t>
            </w:r>
          </w:p>
        </w:tc>
      </w:tr>
    </w:tbl>
    <w:p>
      <w:pPr>
        <w:pStyle w:val="BodyText"/>
      </w:pPr>
      <w:r>
        <w:t xml:space="preserve">Third-party consensus calls for approximately</w:t>
      </w:r>
      <w:r>
        <w:t xml:space="preserve"> </w:t>
      </w:r>
      <w:r>
        <w:rPr>
          <w:b/>
          <w:bCs/>
        </w:rPr>
        <w:t xml:space="preserve">$3.15 billion of revenue and $3.83 of EPS</w:t>
      </w:r>
      <w:r>
        <w:t xml:space="preserve">. The year-ago period produced $3.08 billion of revenue, $3.86 of EPS and unusually strong $730 million of free cash flow. (</w:t>
      </w:r>
      <w:hyperlink r:id="rId10">
        <w:r>
          <w:rPr>
            <w:rStyle w:val="Hyperlink"/>
          </w:rPr>
          <w:t xml:space="preserve">benzinga.com</w:t>
        </w:r>
      </w:hyperlink>
      <w:r>
        <w:t xml:space="preserve">)</w:t>
      </w:r>
    </w:p>
    <w:p>
      <w:pPr>
        <w:pStyle w:val="BodyText"/>
      </w:pPr>
      <w:r>
        <w:t xml:space="preserve">Management’s segment-level outlook, together with its suggested 21% second-quarter tax rate, points to EPS that could be somewhat below consensus absent favorable contract adjustments, incentives or other items. As a result, the composition and quality of earnings may matter more than a modest beat or miss.</w:t>
      </w:r>
    </w:p>
    <w:bookmarkEnd w:id="11"/>
    <w:bookmarkStart w:id="26" w:name="the-five-issues-that-matter-most"/>
    <w:p>
      <w:pPr>
        <w:pStyle w:val="Heading2"/>
      </w:pPr>
      <w:r>
        <w:t xml:space="preserve">The five issues that matter most</w:t>
      </w:r>
    </w:p>
    <w:bookmarkStart w:id="14" w:name="X4f4cd98c21613fc928383e95cb15f59ba125cdf"/>
    <w:p>
      <w:pPr>
        <w:pStyle w:val="Heading3"/>
      </w:pPr>
      <w:r>
        <w:t xml:space="preserve">1. Can shipbuilding sustain its first-quarter growth?</w:t>
      </w:r>
    </w:p>
    <w:p>
      <w:pPr>
        <w:pStyle w:val="FirstParagraph"/>
      </w:pPr>
      <w:r>
        <w:t xml:space="preserve">First-quarter shipbuilding revenue rose almost 18% year over year, including:</w:t>
      </w:r>
    </w:p>
    <w:p>
      <w:pPr>
        <w:pStyle w:val="Compact"/>
        <w:numPr>
          <w:ilvl w:val="0"/>
          <w:numId w:val="1002"/>
        </w:numPr>
      </w:pPr>
      <w:r>
        <w:rPr>
          <w:b/>
          <w:bCs/>
        </w:rPr>
        <w:t xml:space="preserve">Newport News:</w:t>
      </w:r>
      <w:r>
        <w:t xml:space="preserve"> </w:t>
      </w:r>
      <w:r>
        <w:t xml:space="preserve">$1.67 billion, up 19%;</w:t>
      </w:r>
    </w:p>
    <w:p>
      <w:pPr>
        <w:pStyle w:val="Compact"/>
        <w:numPr>
          <w:ilvl w:val="0"/>
          <w:numId w:val="1002"/>
        </w:numPr>
      </w:pPr>
      <w:r>
        <w:rPr>
          <w:b/>
          <w:bCs/>
        </w:rPr>
        <w:t xml:space="preserve">Ingalls:</w:t>
      </w:r>
      <w:r>
        <w:t xml:space="preserve"> </w:t>
      </w:r>
      <w:r>
        <w:t xml:space="preserve">$725 million, up 14%; and</w:t>
      </w:r>
    </w:p>
    <w:p>
      <w:pPr>
        <w:pStyle w:val="Compact"/>
        <w:numPr>
          <w:ilvl w:val="0"/>
          <w:numId w:val="1002"/>
        </w:numPr>
      </w:pPr>
      <w:r>
        <w:t xml:space="preserve">Combined shipbuilding revenue of approximately</w:t>
      </w:r>
      <w:r>
        <w:t xml:space="preserve"> </w:t>
      </w:r>
      <w:r>
        <w:rPr>
          <w:b/>
          <w:bCs/>
        </w:rPr>
        <w:t xml:space="preserve">$2.4 billion</w:t>
      </w:r>
      <w:r>
        <w:t xml:space="preserve">.</w:t>
      </w:r>
    </w:p>
    <w:p>
      <w:pPr>
        <w:pStyle w:val="FirstParagraph"/>
      </w:pPr>
      <w:r>
        <w:t xml:space="preserve">HII is targeting another</w:t>
      </w:r>
      <w:r>
        <w:t xml:space="preserve"> </w:t>
      </w:r>
      <w:r>
        <w:rPr>
          <w:b/>
          <w:bCs/>
        </w:rPr>
        <w:t xml:space="preserve">15% improvement in shipbuilding throughput in 2026</w:t>
      </w:r>
      <w:r>
        <w:t xml:space="preserve">, following a 14% improvement in 2025. Management said it was on plan through the first quarter.</w:t>
      </w:r>
    </w:p>
    <w:p>
      <w:pPr>
        <w:pStyle w:val="BodyText"/>
      </w:pPr>
      <w:r>
        <w:t xml:space="preserve">The second-quarter revenue guide of approximately $2.4 billion does not require another sequential step-up, but investors will want confirmation that earned hours, hiring, overtime and outsourced production are continuing to improve. HII’s first-quarter revenue was $3.1 billion, with $3.79 of diluted EPS, and management reaffirmed its full-year outlook. (</w:t>
      </w:r>
      <w:hyperlink r:id="rId12">
        <w:r>
          <w:rPr>
            <w:rStyle w:val="Hyperlink"/>
          </w:rPr>
          <w:t xml:space="preserve">hii.com</w:t>
        </w:r>
      </w:hyperlink>
      <w:r>
        <w:t xml:space="preserve">)</w:t>
      </w:r>
    </w:p>
    <w:p>
      <w:pPr>
        <w:pStyle w:val="BodyText"/>
      </w:pPr>
      <w:r>
        <w:t xml:space="preserve">Recent evidence is constructive. HII has installed the first large partner-built blocks on DDG 135, has partner work underway for DDG 137 and DDG 139, and has expanded distributed construction into the LPD program. The company still expects outsourced shipbuilding hours to increase 30% this year. (</w:t>
      </w:r>
      <w:hyperlink r:id="rId13">
        <w:r>
          <w:rPr>
            <w:rStyle w:val="Hyperlink"/>
          </w:rPr>
          <w:t xml:space="preserve">hii.com</w:t>
        </w:r>
      </w:hyperlink>
      <w:r>
        <w:t xml:space="preserve">)</w:t>
      </w:r>
    </w:p>
    <w:p>
      <w:pPr>
        <w:pStyle w:val="BodyText"/>
      </w:pPr>
      <w:r>
        <w:rPr>
          <w:b/>
          <w:bCs/>
        </w:rPr>
        <w:t xml:space="preserve">What would be positive:</w:t>
      </w:r>
      <w:r>
        <w:t xml:space="preserve"> </w:t>
      </w:r>
      <w:r>
        <w:t xml:space="preserve">throughput at or ahead of plan, another quarter near or above $2.4 billion of shipbuilding revenue, and no deterioration in schedule efficiency.</w:t>
      </w:r>
    </w:p>
    <w:p>
      <w:pPr>
        <w:pStyle w:val="BodyText"/>
      </w:pPr>
      <w:r>
        <w:rPr>
          <w:b/>
          <w:bCs/>
        </w:rPr>
        <w:t xml:space="preserve">What would be negative:</w:t>
      </w:r>
      <w:r>
        <w:t xml:space="preserve"> </w:t>
      </w:r>
      <w:r>
        <w:t xml:space="preserve">comments that supply-chain timing, inexperienced labor or out-of-sequence work is offsetting the benefit of additional workers and outsourcing.</w:t>
      </w:r>
    </w:p>
    <w:p>
      <w:r>
        <w:pict>
          <v:rect style="width:0;height:1.5pt" o:hralign="center" o:hrstd="t" o:hr="t"/>
        </w:pict>
      </w:r>
    </w:p>
    <w:bookmarkEnd w:id="14"/>
    <w:bookmarkStart w:id="15" w:name="Xefef0d7fb792d565c46906a86b5ae4bff59c6cd"/>
    <w:p>
      <w:pPr>
        <w:pStyle w:val="Heading3"/>
      </w:pPr>
      <w:r>
        <w:t xml:space="preserve">2. Submarine contract timing is a key financial and operational swing factor</w:t>
      </w:r>
    </w:p>
    <w:p>
      <w:pPr>
        <w:pStyle w:val="FirstParagraph"/>
      </w:pPr>
      <w:r>
        <w:t xml:space="preserve">At the first-quarter call, management expected the next Virginia-class Block VI and Columbia-class arrangements to be completed during the second quarter. The agreements matter for more than backlog:</w:t>
      </w:r>
    </w:p>
    <w:p>
      <w:pPr>
        <w:pStyle w:val="Compact"/>
        <w:numPr>
          <w:ilvl w:val="0"/>
          <w:numId w:val="1003"/>
        </w:numPr>
      </w:pPr>
      <w:r>
        <w:t xml:space="preserve">They support uninterrupted construction sequencing;</w:t>
      </w:r>
    </w:p>
    <w:p>
      <w:pPr>
        <w:pStyle w:val="Compact"/>
        <w:numPr>
          <w:ilvl w:val="0"/>
          <w:numId w:val="1003"/>
        </w:numPr>
      </w:pPr>
      <w:r>
        <w:t xml:space="preserve">They can affect contract incentives and margin recognition;</w:t>
      </w:r>
    </w:p>
    <w:p>
      <w:pPr>
        <w:pStyle w:val="Compact"/>
        <w:numPr>
          <w:ilvl w:val="0"/>
          <w:numId w:val="1003"/>
        </w:numPr>
      </w:pPr>
      <w:r>
        <w:t xml:space="preserve">They influence milestone collections and working capital; and</w:t>
      </w:r>
    </w:p>
    <w:p>
      <w:pPr>
        <w:pStyle w:val="Compact"/>
        <w:numPr>
          <w:ilvl w:val="0"/>
          <w:numId w:val="1003"/>
        </w:numPr>
      </w:pPr>
      <w:r>
        <w:t xml:space="preserve">Their economics should be more favorable than contracts negotiated before the pandemic and inflation shock.</w:t>
      </w:r>
    </w:p>
    <w:p>
      <w:pPr>
        <w:pStyle w:val="FirstParagraph"/>
      </w:pPr>
      <w:r>
        <w:t xml:space="preserve">The central question is whether the HII-specific agreements were completed by June 30 and, if so, how much benefit was recognized in the quarter. If they were not completed, investors need to understand whether the delay changes full-year margin or cash assumptions.</w:t>
      </w:r>
    </w:p>
    <w:p>
      <w:pPr>
        <w:pStyle w:val="BodyText"/>
      </w:pPr>
      <w:r>
        <w:t xml:space="preserve">A clean contract update could be one of the most important positive catalysts in the report. Conversely, another timing slip—especially if it affects cash collections—would place more pressure on the second half.</w:t>
      </w:r>
    </w:p>
    <w:p>
      <w:r>
        <w:pict>
          <v:rect style="width:0;height:1.5pt" o:hralign="center" o:hrstd="t" o:hr="t"/>
        </w:pict>
      </w:r>
    </w:p>
    <w:bookmarkEnd w:id="15"/>
    <w:bookmarkStart w:id="16" w:name="Xb9550b7db059480da48ad982f77d2489a4290e0"/>
    <w:p>
      <w:pPr>
        <w:pStyle w:val="Heading3"/>
      </w:pPr>
      <w:r>
        <w:t xml:space="preserve">3. Free cash flow remains the biggest credibility test</w:t>
      </w:r>
    </w:p>
    <w:p>
      <w:pPr>
        <w:pStyle w:val="FirstParagraph"/>
      </w:pPr>
      <w:r>
        <w:t xml:space="preserve">HII used</w:t>
      </w:r>
      <w:r>
        <w:t xml:space="preserve"> </w:t>
      </w:r>
      <w:r>
        <w:rPr>
          <w:b/>
          <w:bCs/>
        </w:rPr>
        <w:t xml:space="preserve">$461 million</w:t>
      </w:r>
      <w:r>
        <w:t xml:space="preserve"> </w:t>
      </w:r>
      <w:r>
        <w:t xml:space="preserve">of free cash flow in the first quarter and guided to between</w:t>
      </w:r>
      <w:r>
        <w:t xml:space="preserve"> </w:t>
      </w:r>
      <w:r>
        <w:rPr>
          <w:b/>
          <w:bCs/>
        </w:rPr>
        <w:t xml:space="preserve">negative $100 million and positive</w:t>
      </w:r>
      <w:r>
        <w:rPr>
          <w:b/>
          <w:bCs/>
        </w:rPr>
        <w:t xml:space="preserve"> </w:t>
      </w:r>
      <m:oMath>
        <m:r>
          <m:t>100</m:t>
        </m:r>
        <m:r>
          <m:t>m</m:t>
        </m:r>
        <m:r>
          <m:t>i</m:t>
        </m:r>
        <m:r>
          <m:t>l</m:t>
        </m:r>
        <m:r>
          <m:t>l</m:t>
        </m:r>
        <m:r>
          <m:t>i</m:t>
        </m:r>
        <m:r>
          <m:t>o</m:t>
        </m:r>
        <m:r>
          <m:t>n</m:t>
        </m:r>
        <m:r>
          <m:rPr>
            <m:sty m:val="p"/>
          </m:rPr>
          <m:t>*</m:t>
        </m:r>
        <m:r>
          <m:rPr>
            <m:sty m:val="p"/>
          </m:rPr>
          <m:t>*</m:t>
        </m:r>
        <m:r>
          <m:t>i</m:t>
        </m:r>
        <m:r>
          <m:t>n</m:t>
        </m:r>
        <m:r>
          <m:t>t</m:t>
        </m:r>
        <m:r>
          <m:t>h</m:t>
        </m:r>
        <m:r>
          <m:t>e</m:t>
        </m:r>
        <m:r>
          <m:t>s</m:t>
        </m:r>
        <m:r>
          <m:t>e</m:t>
        </m:r>
        <m:r>
          <m:t>c</m:t>
        </m:r>
        <m:r>
          <m:t>o</m:t>
        </m:r>
        <m:r>
          <m:t>n</m:t>
        </m:r>
        <m:r>
          <m:t>d</m:t>
        </m:r>
        <m:r>
          <m:rPr>
            <m:sty m:val="p"/>
          </m:rPr>
          <m:t>.</m:t>
        </m:r>
        <m:r>
          <m:t>I</m:t>
        </m:r>
        <m:r>
          <m:t>t</m:t>
        </m:r>
        <m:r>
          <m:t>n</m:t>
        </m:r>
        <m:r>
          <m:t>e</m:t>
        </m:r>
        <m:r>
          <m:t>v</m:t>
        </m:r>
        <m:r>
          <m:t>e</m:t>
        </m:r>
        <m:r>
          <m:t>r</m:t>
        </m:r>
        <m:r>
          <m:t>t</m:t>
        </m:r>
        <m:r>
          <m:t>h</m:t>
        </m:r>
        <m:r>
          <m:t>e</m:t>
        </m:r>
        <m:r>
          <m:t>l</m:t>
        </m:r>
        <m:r>
          <m:t>e</m:t>
        </m:r>
        <m:r>
          <m:t>s</m:t>
        </m:r>
        <m:r>
          <m:t>s</m:t>
        </m:r>
        <m:r>
          <m:t>m</m:t>
        </m:r>
        <m:r>
          <m:t>a</m:t>
        </m:r>
        <m:r>
          <m:t>i</m:t>
        </m:r>
        <m:r>
          <m:t>n</m:t>
        </m:r>
        <m:r>
          <m:t>t</m:t>
        </m:r>
        <m:r>
          <m:t>a</m:t>
        </m:r>
        <m:r>
          <m:t>i</m:t>
        </m:r>
        <m:r>
          <m:t>n</m:t>
        </m:r>
        <m:r>
          <m:t>e</m:t>
        </m:r>
        <m:r>
          <m:t>d</m:t>
        </m:r>
        <m:r>
          <m:t>f</m:t>
        </m:r>
        <m:r>
          <m:t>u</m:t>
        </m:r>
        <m:r>
          <m:t>l</m:t>
        </m:r>
        <m:r>
          <m:t>l</m:t>
        </m:r>
        <m:r>
          <m:rPr>
            <m:sty m:val="p"/>
          </m:rPr>
          <m:t>−</m:t>
        </m:r>
        <m:r>
          <m:t>y</m:t>
        </m:r>
        <m:r>
          <m:t>e</m:t>
        </m:r>
        <m:r>
          <m:t>a</m:t>
        </m:r>
        <m:r>
          <m:t>r</m:t>
        </m:r>
        <m:r>
          <m:t>g</m:t>
        </m:r>
        <m:r>
          <m:t>u</m:t>
        </m:r>
        <m:r>
          <m:t>i</m:t>
        </m:r>
        <m:r>
          <m:t>d</m:t>
        </m:r>
        <m:r>
          <m:t>a</m:t>
        </m:r>
        <m:r>
          <m:t>n</m:t>
        </m:r>
        <m:r>
          <m:t>c</m:t>
        </m:r>
        <m:r>
          <m:t>e</m:t>
        </m:r>
        <m:r>
          <m:t>o</m:t>
        </m:r>
        <m:r>
          <m:t>f</m:t>
        </m:r>
        <m:r>
          <m:rPr>
            <m:sty m:val="p"/>
          </m:rPr>
          <m:t>*</m:t>
        </m:r>
        <m:r>
          <m:rPr>
            <m:sty m:val="p"/>
          </m:rPr>
          <m:t>*</m:t>
        </m:r>
      </m:oMath>
      <w:r>
        <w:rPr>
          <w:b/>
          <w:bCs/>
        </w:rPr>
        <w:t xml:space="preserve">500 million–$600 million</w:t>
      </w:r>
      <w:r>
        <w:t xml:space="preserve">.</w:t>
      </w:r>
    </w:p>
    <w:p>
      <w:pPr>
        <w:pStyle w:val="BodyText"/>
      </w:pPr>
      <w:r>
        <w:t xml:space="preserve">At the midpoint of second-quarter guidance and full-year guidance, HII would need to generate approximately</w:t>
      </w:r>
      <w:r>
        <w:t xml:space="preserve"> </w:t>
      </w:r>
      <w:r>
        <w:rPr>
          <w:b/>
          <w:bCs/>
        </w:rPr>
        <w:t xml:space="preserve">$1 billion of free cash flow in the second half</w:t>
      </w:r>
      <w:r>
        <w:t xml:space="preserve">. The primary drivers are expected to include:</w:t>
      </w:r>
    </w:p>
    <w:p>
      <w:pPr>
        <w:pStyle w:val="Compact"/>
        <w:numPr>
          <w:ilvl w:val="0"/>
          <w:numId w:val="1004"/>
        </w:numPr>
      </w:pPr>
      <w:r>
        <w:t xml:space="preserve">Shipbuilding progress and milestone billings;</w:t>
      </w:r>
    </w:p>
    <w:p>
      <w:pPr>
        <w:pStyle w:val="Compact"/>
        <w:numPr>
          <w:ilvl w:val="0"/>
          <w:numId w:val="1004"/>
        </w:numPr>
      </w:pPr>
      <w:r>
        <w:t xml:space="preserve">Submarine contract-related collections;</w:t>
      </w:r>
    </w:p>
    <w:p>
      <w:pPr>
        <w:pStyle w:val="Compact"/>
        <w:numPr>
          <w:ilvl w:val="0"/>
          <w:numId w:val="1004"/>
        </w:numPr>
      </w:pPr>
      <w:r>
        <w:t xml:space="preserve">Delivery milestones;</w:t>
      </w:r>
    </w:p>
    <w:p>
      <w:pPr>
        <w:pStyle w:val="Compact"/>
        <w:numPr>
          <w:ilvl w:val="0"/>
          <w:numId w:val="1004"/>
        </w:numPr>
      </w:pPr>
      <w:r>
        <w:t xml:space="preserve">Research-and-development tax credits;</w:t>
      </w:r>
    </w:p>
    <w:p>
      <w:pPr>
        <w:pStyle w:val="Compact"/>
        <w:numPr>
          <w:ilvl w:val="0"/>
          <w:numId w:val="1004"/>
        </w:numPr>
      </w:pPr>
      <w:r>
        <w:t xml:space="preserve">Working-capital normalization; and</w:t>
      </w:r>
    </w:p>
    <w:p>
      <w:pPr>
        <w:pStyle w:val="Compact"/>
        <w:numPr>
          <w:ilvl w:val="0"/>
          <w:numId w:val="1004"/>
        </w:numPr>
      </w:pPr>
      <w:r>
        <w:t xml:space="preserve">The timing of capital spending.</w:t>
      </w:r>
    </w:p>
    <w:p>
      <w:pPr>
        <w:pStyle w:val="FirstParagraph"/>
      </w:pPr>
      <w:r>
        <w:t xml:space="preserve">Seasonality makes a back-half-weighted cash profile normal for HII, but the magnitude leaves limited room for schedule slips. Investors should focus on the full-year reaffirmation and management’s confidence in the timing of collections—not merely the reported Q2 cash number.</w:t>
      </w:r>
    </w:p>
    <w:p>
      <w:pPr>
        <w:pStyle w:val="BodyText"/>
      </w:pPr>
      <w:r>
        <w:rPr>
          <w:b/>
          <w:bCs/>
        </w:rPr>
        <w:t xml:space="preserve">Best outcome:</w:t>
      </w:r>
      <w:r>
        <w:t xml:space="preserve"> </w:t>
      </w:r>
      <w:r>
        <w:t xml:space="preserve">Q2 cash flow at the upper end of guidance, submarine contracts finalized and full-year guidance reiterated without qualification.</w:t>
      </w:r>
    </w:p>
    <w:p>
      <w:pPr>
        <w:pStyle w:val="BodyText"/>
      </w:pPr>
      <w:r>
        <w:rPr>
          <w:b/>
          <w:bCs/>
        </w:rPr>
        <w:t xml:space="preserve">Risk outcome:</w:t>
      </w:r>
      <w:r>
        <w:t xml:space="preserve"> </w:t>
      </w:r>
      <w:r>
        <w:t xml:space="preserve">Q2 cash near the bottom of the range plus softer language around second-half milestones.</w:t>
      </w:r>
    </w:p>
    <w:p>
      <w:r>
        <w:pict>
          <v:rect style="width:0;height:1.5pt" o:hralign="center" o:hrstd="t" o:hr="t"/>
        </w:pict>
      </w:r>
    </w:p>
    <w:bookmarkEnd w:id="16"/>
    <w:bookmarkStart w:id="20" w:name="X6d9de1bd1edf7aef6048c119c865b02678287aa"/>
    <w:p>
      <w:pPr>
        <w:pStyle w:val="Heading3"/>
      </w:pPr>
      <w:r>
        <w:t xml:space="preserve">4. Newport News margins need to stabilize</w:t>
      </w:r>
    </w:p>
    <w:p>
      <w:pPr>
        <w:pStyle w:val="FirstParagraph"/>
      </w:pPr>
      <w:r>
        <w:t xml:space="preserve">Newport News is likely to remain the largest source of earnings volatility.</w:t>
      </w:r>
    </w:p>
    <w:p>
      <w:pPr>
        <w:pStyle w:val="BodyText"/>
      </w:pPr>
      <w:r>
        <w:t xml:space="preserve">First-quarter margin was only</w:t>
      </w:r>
      <w:r>
        <w:t xml:space="preserve"> </w:t>
      </w:r>
      <w:r>
        <w:rPr>
          <w:b/>
          <w:bCs/>
        </w:rPr>
        <w:t xml:space="preserve">5.3%</w:t>
      </w:r>
      <w:r>
        <w:t xml:space="preserve">, reflecting lower aircraft-carrier construction performance and negative net cumulative adjustments. The key programs to watch are:</w:t>
      </w:r>
    </w:p>
    <w:bookmarkStart w:id="17" w:name="cvn-79-john-f-kennedy"/>
    <w:p>
      <w:pPr>
        <w:pStyle w:val="Heading4"/>
      </w:pPr>
      <w:r>
        <w:t xml:space="preserve">CVN 79 John F. Kennedy</w:t>
      </w:r>
    </w:p>
    <w:p>
      <w:pPr>
        <w:pStyle w:val="FirstParagraph"/>
      </w:pPr>
      <w:r>
        <w:t xml:space="preserve">Builder’s sea trials were completed in the first quarter. Investors should listen for:</w:t>
      </w:r>
    </w:p>
    <w:p>
      <w:pPr>
        <w:pStyle w:val="Compact"/>
        <w:numPr>
          <w:ilvl w:val="0"/>
          <w:numId w:val="1005"/>
        </w:numPr>
      </w:pPr>
      <w:r>
        <w:t xml:space="preserve">Timing of acceptance trials;</w:t>
      </w:r>
    </w:p>
    <w:p>
      <w:pPr>
        <w:pStyle w:val="Compact"/>
        <w:numPr>
          <w:ilvl w:val="0"/>
          <w:numId w:val="1005"/>
        </w:numPr>
      </w:pPr>
      <w:r>
        <w:t xml:space="preserve">Whether preliminary acceptance remains on schedule;</w:t>
      </w:r>
    </w:p>
    <w:p>
      <w:pPr>
        <w:pStyle w:val="Compact"/>
        <w:numPr>
          <w:ilvl w:val="0"/>
          <w:numId w:val="1005"/>
        </w:numPr>
      </w:pPr>
      <w:r>
        <w:t xml:space="preserve">Any changes in testing or completion cost; and</w:t>
      </w:r>
    </w:p>
    <w:p>
      <w:pPr>
        <w:pStyle w:val="Compact"/>
        <w:numPr>
          <w:ilvl w:val="0"/>
          <w:numId w:val="1005"/>
        </w:numPr>
      </w:pPr>
      <w:r>
        <w:t xml:space="preserve">The amount of work remaining before final delivery.</w:t>
      </w:r>
    </w:p>
    <w:bookmarkEnd w:id="17"/>
    <w:bookmarkStart w:id="18" w:name="cvn-80-enterprise"/>
    <w:p>
      <w:pPr>
        <w:pStyle w:val="Heading4"/>
      </w:pPr>
      <w:r>
        <w:t xml:space="preserve">CVN 80 Enterprise</w:t>
      </w:r>
    </w:p>
    <w:p>
      <w:pPr>
        <w:pStyle w:val="FirstParagraph"/>
      </w:pPr>
      <w:r>
        <w:t xml:space="preserve">CVN 80 has been affected by delayed equipment and out-of-sequence construction. Management has said the required equipment is now available and the ship is being erected at a faster pace, but further inefficiencies remain possible as the program returns to a normal sequence.</w:t>
      </w:r>
    </w:p>
    <w:bookmarkEnd w:id="18"/>
    <w:bookmarkStart w:id="19" w:name="ssn-800-arkansas"/>
    <w:p>
      <w:pPr>
        <w:pStyle w:val="Heading4"/>
      </w:pPr>
      <w:r>
        <w:t xml:space="preserve">SSN 800 Arkansas</w:t>
      </w:r>
    </w:p>
    <w:p>
      <w:pPr>
        <w:pStyle w:val="FirstParagraph"/>
      </w:pPr>
      <w:r>
        <w:t xml:space="preserve">Delivery remains one of the company’s critical 2026 milestones. An unchanged schedule would support confidence in both throughput and second-half cash flow.</w:t>
      </w:r>
    </w:p>
    <w:p>
      <w:pPr>
        <w:pStyle w:val="BodyText"/>
      </w:pPr>
      <w:r>
        <w:t xml:space="preserve">The stock is unlikely to reward a revenue beat if it is accompanied by another sizable carrier or submarine charge. A Newport News margin near or above the guided shipbuilding range, with no individually significant adjustments, would therefore be more important than modest top-line upside.</w:t>
      </w:r>
    </w:p>
    <w:p>
      <w:r>
        <w:pict>
          <v:rect style="width:0;height:1.5pt" o:hralign="center" o:hrstd="t" o:hr="t"/>
        </w:pict>
      </w:r>
    </w:p>
    <w:bookmarkEnd w:id="19"/>
    <w:bookmarkEnd w:id="20"/>
    <w:bookmarkStart w:id="25" w:name="Xb773aa25ad09b9d03373489349a8b4fc942d8c1"/>
    <w:p>
      <w:pPr>
        <w:pStyle w:val="Heading3"/>
      </w:pPr>
      <w:r>
        <w:t xml:space="preserve">5. Ingalls execution and Mission Technologies investment</w:t>
      </w:r>
    </w:p>
    <w:bookmarkStart w:id="22" w:name="ingalls"/>
    <w:p>
      <w:pPr>
        <w:pStyle w:val="Heading4"/>
      </w:pPr>
      <w:r>
        <w:t xml:space="preserve">Ingalls</w:t>
      </w:r>
    </w:p>
    <w:p>
      <w:pPr>
        <w:pStyle w:val="FirstParagraph"/>
      </w:pPr>
      <w:r>
        <w:t xml:space="preserve">First-quarter Ingalls margin was</w:t>
      </w:r>
      <w:r>
        <w:t xml:space="preserve"> </w:t>
      </w:r>
      <w:r>
        <w:rPr>
          <w:b/>
          <w:bCs/>
        </w:rPr>
        <w:t xml:space="preserve">6.8%</w:t>
      </w:r>
      <w:r>
        <w:t xml:space="preserve">, down from 7.2% a year earlier, partly because of weaker performance on LHA 8. Near-term items include:</w:t>
      </w:r>
    </w:p>
    <w:p>
      <w:pPr>
        <w:pStyle w:val="Compact"/>
        <w:numPr>
          <w:ilvl w:val="0"/>
          <w:numId w:val="1006"/>
        </w:numPr>
      </w:pPr>
      <w:r>
        <w:t xml:space="preserve">Progress toward delivering</w:t>
      </w:r>
      <w:r>
        <w:t xml:space="preserve"> </w:t>
      </w:r>
      <w:r>
        <w:rPr>
          <w:b/>
          <w:bCs/>
        </w:rPr>
        <w:t xml:space="preserve">LPD 30 Harrisburg</w:t>
      </w:r>
      <w:r>
        <w:t xml:space="preserve"> </w:t>
      </w:r>
      <w:r>
        <w:t xml:space="preserve">in 2026;</w:t>
      </w:r>
    </w:p>
    <w:p>
      <w:pPr>
        <w:pStyle w:val="Compact"/>
        <w:numPr>
          <w:ilvl w:val="0"/>
          <w:numId w:val="1006"/>
        </w:numPr>
      </w:pPr>
      <w:r>
        <w:t xml:space="preserve">Testing and construction progress on</w:t>
      </w:r>
      <w:r>
        <w:t xml:space="preserve"> </w:t>
      </w:r>
      <w:r>
        <w:rPr>
          <w:b/>
          <w:bCs/>
        </w:rPr>
        <w:t xml:space="preserve">DDG 129 Jeremiah Denton</w:t>
      </w:r>
      <w:r>
        <w:t xml:space="preserve">;</w:t>
      </w:r>
    </w:p>
    <w:p>
      <w:pPr>
        <w:pStyle w:val="Compact"/>
        <w:numPr>
          <w:ilvl w:val="0"/>
          <w:numId w:val="1006"/>
        </w:numPr>
      </w:pPr>
      <w:r>
        <w:t xml:space="preserve">The LHA 8 testing schedule;</w:t>
      </w:r>
    </w:p>
    <w:p>
      <w:pPr>
        <w:pStyle w:val="Compact"/>
        <w:numPr>
          <w:ilvl w:val="0"/>
          <w:numId w:val="1006"/>
        </w:numPr>
      </w:pPr>
      <w:r>
        <w:t xml:space="preserve">Whether the recent wage agreement is improving hiring and retention; and</w:t>
      </w:r>
    </w:p>
    <w:p>
      <w:pPr>
        <w:pStyle w:val="Compact"/>
        <w:numPr>
          <w:ilvl w:val="0"/>
          <w:numId w:val="1006"/>
        </w:numPr>
      </w:pPr>
      <w:r>
        <w:t xml:space="preserve">Benefits from distributed production.</w:t>
      </w:r>
    </w:p>
    <w:p>
      <w:pPr>
        <w:pStyle w:val="FirstParagraph"/>
      </w:pPr>
      <w:r>
        <w:t xml:space="preserve">Recent milestones—including the christening of DDG 131 and the expansion of outsourced unit construction—suggest the destroyer production line continues to advance. (</w:t>
      </w:r>
      <w:hyperlink r:id="rId21">
        <w:r>
          <w:rPr>
            <w:rStyle w:val="Hyperlink"/>
          </w:rPr>
          <w:t xml:space="preserve">hii.com</w:t>
        </w:r>
      </w:hyperlink>
      <w:r>
        <w:t xml:space="preserve">)</w:t>
      </w:r>
    </w:p>
    <w:bookmarkEnd w:id="22"/>
    <w:bookmarkStart w:id="24" w:name="mission-technologies"/>
    <w:p>
      <w:pPr>
        <w:pStyle w:val="Heading4"/>
      </w:pPr>
      <w:r>
        <w:t xml:space="preserve">Mission Technologies</w:t>
      </w:r>
    </w:p>
    <w:p>
      <w:pPr>
        <w:pStyle w:val="FirstParagraph"/>
      </w:pPr>
      <w:r>
        <w:t xml:space="preserve">Management guided Mission Technologies to approximately</w:t>
      </w:r>
      <w:r>
        <w:t xml:space="preserve"> </w:t>
      </w:r>
      <w:r>
        <w:rPr>
          <w:b/>
          <w:bCs/>
        </w:rPr>
        <w:t xml:space="preserve">$750 million of revenue and a 4% operating margin</w:t>
      </w:r>
      <w:r>
        <w:t xml:space="preserve">, below the full-year margin target of approximately 5%. The lower quarterly margin includes investment in autonomous systems and production capacity.</w:t>
      </w:r>
    </w:p>
    <w:p>
      <w:pPr>
        <w:pStyle w:val="BodyText"/>
      </w:pPr>
      <w:r>
        <w:t xml:space="preserve">The most tangible recent development is ROMULUS advancing into the Navy’s Medium Unmanned Surface Vessel evaluation phase. This improves HII’s position in an attractive long-term market, but management has cautioned that unmanned-system growth may not become financially material immediately. (</w:t>
      </w:r>
      <w:hyperlink r:id="rId23">
        <w:r>
          <w:rPr>
            <w:rStyle w:val="Hyperlink"/>
          </w:rPr>
          <w:t xml:space="preserve">hii.com</w:t>
        </w:r>
      </w:hyperlink>
      <w:r>
        <w:t xml:space="preserve">)</w:t>
      </w:r>
    </w:p>
    <w:p>
      <w:pPr>
        <w:pStyle w:val="BodyText"/>
      </w:pPr>
      <w:r>
        <w:t xml:space="preserve">For this quarter, investors should prioritize:</w:t>
      </w:r>
    </w:p>
    <w:p>
      <w:pPr>
        <w:pStyle w:val="Compact"/>
        <w:numPr>
          <w:ilvl w:val="0"/>
          <w:numId w:val="1007"/>
        </w:numPr>
      </w:pPr>
      <w:r>
        <w:t xml:space="preserve">Core organic growth excluding joint-venture income timing;</w:t>
      </w:r>
    </w:p>
    <w:p>
      <w:pPr>
        <w:pStyle w:val="Compact"/>
        <w:numPr>
          <w:ilvl w:val="0"/>
          <w:numId w:val="1007"/>
        </w:numPr>
      </w:pPr>
      <w:r>
        <w:t xml:space="preserve">The level of autonomous-systems investment;</w:t>
      </w:r>
    </w:p>
    <w:p>
      <w:pPr>
        <w:pStyle w:val="Compact"/>
        <w:numPr>
          <w:ilvl w:val="0"/>
          <w:numId w:val="1007"/>
        </w:numPr>
      </w:pPr>
      <w:r>
        <w:t xml:space="preserve">The path back toward the 5% full-year segment margin; and</w:t>
      </w:r>
    </w:p>
    <w:p>
      <w:pPr>
        <w:pStyle w:val="Compact"/>
        <w:numPr>
          <w:ilvl w:val="0"/>
          <w:numId w:val="1007"/>
        </w:numPr>
      </w:pPr>
      <w:r>
        <w:t xml:space="preserve">Any update on MUSV demonstrations or international opportunities.</w:t>
      </w:r>
    </w:p>
    <w:bookmarkEnd w:id="24"/>
    <w:bookmarkEnd w:id="25"/>
    <w:bookmarkEnd w:id="26"/>
    <w:bookmarkStart w:id="30" w:name="X639f56f901630f932c88f8418e0ea19051f38ef"/>
    <w:p>
      <w:pPr>
        <w:pStyle w:val="Heading2"/>
      </w:pPr>
      <w:r>
        <w:t xml:space="preserve">Full-year guidance: where revisions are most likely</w:t>
      </w:r>
    </w:p>
    <w:p>
      <w:pPr>
        <w:pStyle w:val="FirstParagraph"/>
      </w:pPr>
      <w:r>
        <w:t xml:space="preserve">HII entered the quarter with the following 2026 outlook: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metric</w:t>
            </w:r>
          </w:p>
        </w:tc>
        <w:tc>
          <w:tcPr/>
          <w:p>
            <w:pPr>
              <w:pStyle w:val="Compact"/>
              <w:jc w:val="right"/>
            </w:pPr>
            <w:r>
              <w:t xml:space="preserve">Guidance</w:t>
            </w:r>
          </w:p>
        </w:tc>
      </w:tr>
      <w:tr>
        <w:tc>
          <w:tcPr/>
          <w:p>
            <w:pPr>
              <w:pStyle w:val="Compact"/>
            </w:pPr>
            <w:r>
              <w:t xml:space="preserve">Shipbuilding revenue</w:t>
            </w:r>
          </w:p>
        </w:tc>
        <w:tc>
          <w:tcPr/>
          <w:p>
            <w:pPr>
              <w:pStyle w:val="Compact"/>
              <w:jc w:val="right"/>
            </w:pPr>
            <m:oMath>
              <m:r>
                <m:t>9.7</m:t>
              </m:r>
              <m:r>
                <m:t>B</m:t>
              </m:r>
              <m:r>
                <m:rPr>
                  <m:sty m:val="p"/>
                </m:rPr>
                <m:t>–</m:t>
              </m:r>
            </m:oMath>
            <w:r>
              <w:rPr>
                <w:b/>
                <w:bCs/>
              </w:rPr>
              <w:t xml:space="preserve">9.9B</w:t>
            </w:r>
          </w:p>
        </w:tc>
      </w:tr>
      <w:tr>
        <w:tc>
          <w:tcPr/>
          <w:p>
            <w:pPr>
              <w:pStyle w:val="Compact"/>
            </w:pPr>
            <w:r>
              <w:t xml:space="preserve">Shipbuilding operating margin</w:t>
            </w:r>
          </w:p>
        </w:tc>
        <w:tc>
          <w:tcPr/>
          <w:p>
            <w:pPr>
              <w:pStyle w:val="Compact"/>
              <w:jc w:val="right"/>
            </w:pPr>
            <w:r>
              <w:rPr>
                <w:b/>
                <w:bCs/>
              </w:rPr>
              <w:t xml:space="preserve">5.5%–6.5%</w:t>
            </w:r>
          </w:p>
        </w:tc>
      </w:tr>
      <w:tr>
        <w:tc>
          <w:tcPr/>
          <w:p>
            <w:pPr>
              <w:pStyle w:val="Compact"/>
            </w:pPr>
            <w:r>
              <w:t xml:space="preserve">Mission Technologies revenue</w:t>
            </w:r>
          </w:p>
        </w:tc>
        <w:tc>
          <w:tcPr/>
          <w:p>
            <w:pPr>
              <w:pStyle w:val="Compact"/>
              <w:jc w:val="right"/>
            </w:pPr>
            <m:oMath>
              <m:r>
                <m:t>3.0</m:t>
              </m:r>
              <m:r>
                <m:t>B</m:t>
              </m:r>
              <m:r>
                <m:rPr>
                  <m:sty m:val="p"/>
                </m:rPr>
                <m:t>–</m:t>
              </m:r>
            </m:oMath>
            <w:r>
              <w:rPr>
                <w:b/>
                <w:bCs/>
              </w:rPr>
              <w:t xml:space="preserve">3.2B</w:t>
            </w:r>
          </w:p>
        </w:tc>
      </w:tr>
      <w:tr>
        <w:tc>
          <w:tcPr/>
          <w:p>
            <w:pPr>
              <w:pStyle w:val="Compact"/>
            </w:pPr>
            <w:r>
              <w:t xml:space="preserve">Mission Technologies operating margin</w:t>
            </w:r>
          </w:p>
        </w:tc>
        <w:tc>
          <w:tcPr/>
          <w:p>
            <w:pPr>
              <w:pStyle w:val="Compact"/>
              <w:jc w:val="right"/>
            </w:pPr>
            <w:r>
              <w:t xml:space="preserve">Approximately</w:t>
            </w:r>
            <w:r>
              <w:t xml:space="preserve"> </w:t>
            </w:r>
            <w:r>
              <w:rPr>
                <w:b/>
                <w:bCs/>
              </w:rPr>
              <w:t xml:space="preserve">5%</w:t>
            </w:r>
          </w:p>
        </w:tc>
      </w:tr>
      <w:tr>
        <w:tc>
          <w:tcPr/>
          <w:p>
            <w:pPr>
              <w:pStyle w:val="Compact"/>
            </w:pPr>
            <w:r>
              <w:t xml:space="preserve">Mission Technologies EBITDA margin</w:t>
            </w:r>
          </w:p>
        </w:tc>
        <w:tc>
          <w:tcPr/>
          <w:p>
            <w:pPr>
              <w:pStyle w:val="Compact"/>
              <w:jc w:val="right"/>
            </w:pPr>
            <w:r>
              <w:rPr>
                <w:b/>
                <w:bCs/>
              </w:rPr>
              <w:t xml:space="preserve">8.4%–8.6%</w:t>
            </w:r>
          </w:p>
        </w:tc>
      </w:tr>
      <w:tr>
        <w:tc>
          <w:tcPr/>
          <w:p>
            <w:pPr>
              <w:pStyle w:val="Compact"/>
            </w:pPr>
            <w:r>
              <w:t xml:space="preserve">Effective tax rate</w:t>
            </w:r>
          </w:p>
        </w:tc>
        <w:tc>
          <w:tcPr/>
          <w:p>
            <w:pPr>
              <w:pStyle w:val="Compact"/>
              <w:jc w:val="right"/>
            </w:pPr>
            <w:r>
              <w:t xml:space="preserve">Approximately</w:t>
            </w:r>
            <w:r>
              <w:t xml:space="preserve"> </w:t>
            </w:r>
            <w:r>
              <w:rPr>
                <w:b/>
                <w:bCs/>
              </w:rPr>
              <w:t xml:space="preserve">17%</w:t>
            </w:r>
          </w:p>
        </w:tc>
      </w:tr>
      <w:tr>
        <w:tc>
          <w:tcPr/>
          <w:p>
            <w:pPr>
              <w:pStyle w:val="Compact"/>
            </w:pPr>
            <w:r>
              <w:t xml:space="preserve">Capital expenditures</w:t>
            </w:r>
          </w:p>
        </w:tc>
        <w:tc>
          <w:tcPr/>
          <w:p>
            <w:pPr>
              <w:pStyle w:val="Compact"/>
              <w:jc w:val="right"/>
            </w:pPr>
            <w:r>
              <w:rPr>
                <w:b/>
                <w:bCs/>
              </w:rPr>
              <w:t xml:space="preserve">4%–5% of sales</w:t>
            </w:r>
          </w:p>
        </w:tc>
      </w:tr>
      <w:tr>
        <w:tc>
          <w:tcPr/>
          <w:p>
            <w:pPr>
              <w:pStyle w:val="Compact"/>
            </w:pPr>
            <w:r>
              <w:t xml:space="preserve">Free cash flow</w:t>
            </w:r>
          </w:p>
        </w:tc>
        <w:tc>
          <w:tcPr/>
          <w:p>
            <w:pPr>
              <w:pStyle w:val="Compact"/>
              <w:jc w:val="right"/>
            </w:pPr>
            <m:oMath>
              <m:r>
                <m:t>500</m:t>
              </m:r>
              <m:r>
                <m:t>M</m:t>
              </m:r>
              <m:r>
                <m:rPr>
                  <m:sty m:val="p"/>
                </m:rPr>
                <m:t>–</m:t>
              </m:r>
            </m:oMath>
            <w:r>
              <w:rPr>
                <w:b/>
                <w:bCs/>
              </w:rPr>
              <w:t xml:space="preserve">600M</w:t>
            </w:r>
          </w:p>
        </w:tc>
      </w:tr>
      <w:tr>
        <w:tc>
          <w:tcPr/>
          <w:p>
            <w:pPr>
              <w:pStyle w:val="Compact"/>
            </w:pPr>
            <w:r>
              <w:t xml:space="preserve">Medium-term HII revenue growth</w:t>
            </w:r>
          </w:p>
        </w:tc>
        <w:tc>
          <w:tcPr/>
          <w:p>
            <w:pPr>
              <w:pStyle w:val="Compact"/>
              <w:jc w:val="right"/>
            </w:pPr>
            <w:r>
              <w:t xml:space="preserve">Approximately</w:t>
            </w:r>
            <w:r>
              <w:t xml:space="preserve"> </w:t>
            </w:r>
            <w:r>
              <w:rPr>
                <w:b/>
                <w:bCs/>
              </w:rPr>
              <w:t xml:space="preserve">6%</w:t>
            </w:r>
          </w:p>
        </w:tc>
      </w:tr>
    </w:tbl>
    <w:bookmarkStart w:id="27" w:name="most-likely-outcome"/>
    <w:p>
      <w:pPr>
        <w:pStyle w:val="Heading3"/>
      </w:pPr>
      <w:r>
        <w:t xml:space="preserve">Most likely outcome</w:t>
      </w:r>
    </w:p>
    <w:p>
      <w:pPr>
        <w:pStyle w:val="FirstParagraph"/>
      </w:pPr>
      <w:r>
        <w:t xml:space="preserve">A broad reaffirmation appears more likely than a major guidance change. First-quarter shipbuilding revenue was ahead of the company’s quarterly expectation, but management deliberately retained conservative full-year assumptions.</w:t>
      </w:r>
    </w:p>
    <w:bookmarkEnd w:id="27"/>
    <w:bookmarkStart w:id="28" w:name="potential-upside-revision"/>
    <w:p>
      <w:pPr>
        <w:pStyle w:val="Heading3"/>
      </w:pPr>
      <w:r>
        <w:t xml:space="preserve">Potential upside revision</w:t>
      </w:r>
    </w:p>
    <w:p>
      <w:pPr>
        <w:pStyle w:val="FirstParagraph"/>
      </w:pPr>
      <w:r>
        <w:t xml:space="preserve">Shipbuilding revenue guidance could eventually move higher if:</w:t>
      </w:r>
    </w:p>
    <w:p>
      <w:pPr>
        <w:pStyle w:val="Compact"/>
        <w:numPr>
          <w:ilvl w:val="0"/>
          <w:numId w:val="1008"/>
        </w:numPr>
      </w:pPr>
      <w:r>
        <w:t xml:space="preserve">Q2 again exceeds $2.4 billion;</w:t>
      </w:r>
    </w:p>
    <w:p>
      <w:pPr>
        <w:pStyle w:val="Compact"/>
        <w:numPr>
          <w:ilvl w:val="0"/>
          <w:numId w:val="1008"/>
        </w:numPr>
      </w:pPr>
      <w:r>
        <w:t xml:space="preserve">Throughput remains above plan;</w:t>
      </w:r>
    </w:p>
    <w:p>
      <w:pPr>
        <w:pStyle w:val="Compact"/>
        <w:numPr>
          <w:ilvl w:val="0"/>
          <w:numId w:val="1008"/>
        </w:numPr>
      </w:pPr>
      <w:r>
        <w:t xml:space="preserve">Distributed production continues to scale; and</w:t>
      </w:r>
    </w:p>
    <w:p>
      <w:pPr>
        <w:pStyle w:val="Compact"/>
        <w:numPr>
          <w:ilvl w:val="0"/>
          <w:numId w:val="1008"/>
        </w:numPr>
      </w:pPr>
      <w:r>
        <w:t xml:space="preserve">The submarine agreements are finalized.</w:t>
      </w:r>
    </w:p>
    <w:p>
      <w:pPr>
        <w:pStyle w:val="FirstParagraph"/>
      </w:pPr>
      <w:r>
        <w:t xml:space="preserve">Management may nevertheless wait until the third quarter before raising the range because deliveries, cash generation and program risk are concentrated late in the year.</w:t>
      </w:r>
    </w:p>
    <w:bookmarkEnd w:id="28"/>
    <w:bookmarkStart w:id="29" w:name="areas-with-downside-risk"/>
    <w:p>
      <w:pPr>
        <w:pStyle w:val="Heading3"/>
      </w:pPr>
      <w:r>
        <w:t xml:space="preserve">Areas with downside risk</w:t>
      </w:r>
    </w:p>
    <w:p>
      <w:pPr>
        <w:pStyle w:val="FirstParagraph"/>
      </w:pPr>
      <w:r>
        <w:t xml:space="preserve">The most vulnerable guidance items are:</w:t>
      </w:r>
    </w:p>
    <w:p>
      <w:pPr>
        <w:pStyle w:val="Compact"/>
        <w:numPr>
          <w:ilvl w:val="0"/>
          <w:numId w:val="1009"/>
        </w:numPr>
      </w:pPr>
      <w:r>
        <w:rPr>
          <w:b/>
          <w:bCs/>
        </w:rPr>
        <w:t xml:space="preserve">Free cash flow</w:t>
      </w:r>
      <w:r>
        <w:t xml:space="preserve">, if contracts, collections or deliveries move right;</w:t>
      </w:r>
    </w:p>
    <w:p>
      <w:pPr>
        <w:pStyle w:val="Compact"/>
        <w:numPr>
          <w:ilvl w:val="0"/>
          <w:numId w:val="1009"/>
        </w:numPr>
      </w:pPr>
      <w:r>
        <w:rPr>
          <w:b/>
          <w:bCs/>
        </w:rPr>
        <w:t xml:space="preserve">Shipbuilding margin</w:t>
      </w:r>
      <w:r>
        <w:t xml:space="preserve">, if carrier or amphibious-ship adjustments recur; and</w:t>
      </w:r>
    </w:p>
    <w:p>
      <w:pPr>
        <w:pStyle w:val="Compact"/>
        <w:numPr>
          <w:ilvl w:val="0"/>
          <w:numId w:val="1009"/>
        </w:numPr>
      </w:pPr>
      <w:r>
        <w:rPr>
          <w:b/>
          <w:bCs/>
        </w:rPr>
        <w:t xml:space="preserve">Mission Technologies margin</w:t>
      </w:r>
      <w:r>
        <w:t xml:space="preserve">, if autonomous investment runs above plan or joint-venture income remains weak.</w:t>
      </w:r>
    </w:p>
    <w:bookmarkEnd w:id="29"/>
    <w:bookmarkEnd w:id="30"/>
    <w:bookmarkStart w:id="34" w:name="likely-stock-reaction-framework"/>
    <w:p>
      <w:pPr>
        <w:pStyle w:val="Heading2"/>
      </w:pPr>
      <w:r>
        <w:t xml:space="preserve">Likely stock-reaction framework</w:t>
      </w:r>
    </w:p>
    <w:bookmarkStart w:id="31" w:name="bull-case"/>
    <w:p>
      <w:pPr>
        <w:pStyle w:val="Heading3"/>
      </w:pPr>
      <w:r>
        <w:t xml:space="preserve">Bull case</w:t>
      </w:r>
    </w:p>
    <w:p>
      <w:pPr>
        <w:pStyle w:val="Compact"/>
        <w:numPr>
          <w:ilvl w:val="0"/>
          <w:numId w:val="1010"/>
        </w:numPr>
      </w:pPr>
      <w:r>
        <w:t xml:space="preserve">Revenue above approximately $3.15 billion;</w:t>
      </w:r>
    </w:p>
    <w:p>
      <w:pPr>
        <w:pStyle w:val="Compact"/>
        <w:numPr>
          <w:ilvl w:val="0"/>
          <w:numId w:val="1010"/>
        </w:numPr>
      </w:pPr>
      <w:r>
        <w:t xml:space="preserve">Shipbuilding margin at or above 6%;</w:t>
      </w:r>
    </w:p>
    <w:p>
      <w:pPr>
        <w:pStyle w:val="Compact"/>
        <w:numPr>
          <w:ilvl w:val="0"/>
          <w:numId w:val="1010"/>
        </w:numPr>
      </w:pPr>
      <w:r>
        <w:t xml:space="preserve">No meaningful negative contract adjustments;</w:t>
      </w:r>
    </w:p>
    <w:p>
      <w:pPr>
        <w:pStyle w:val="Compact"/>
        <w:numPr>
          <w:ilvl w:val="0"/>
          <w:numId w:val="1010"/>
        </w:numPr>
      </w:pPr>
      <w:r>
        <w:t xml:space="preserve">Submarine agreements completed;</w:t>
      </w:r>
    </w:p>
    <w:p>
      <w:pPr>
        <w:pStyle w:val="Compact"/>
        <w:numPr>
          <w:ilvl w:val="0"/>
          <w:numId w:val="1010"/>
        </w:numPr>
      </w:pPr>
      <w:r>
        <w:t xml:space="preserve">Throughput at or ahead of the 15% target;</w:t>
      </w:r>
    </w:p>
    <w:p>
      <w:pPr>
        <w:pStyle w:val="Compact"/>
        <w:numPr>
          <w:ilvl w:val="0"/>
          <w:numId w:val="1010"/>
        </w:numPr>
      </w:pPr>
      <w:r>
        <w:t xml:space="preserve">Q2 cash flow toward the high end of guidance;</w:t>
      </w:r>
    </w:p>
    <w:p>
      <w:pPr>
        <w:pStyle w:val="Compact"/>
        <w:numPr>
          <w:ilvl w:val="0"/>
          <w:numId w:val="1010"/>
        </w:numPr>
      </w:pPr>
      <w:r>
        <w:t xml:space="preserve">Full-year cash-flow guidance confidently reaffirmed; and</w:t>
      </w:r>
    </w:p>
    <w:p>
      <w:pPr>
        <w:pStyle w:val="Compact"/>
        <w:numPr>
          <w:ilvl w:val="0"/>
          <w:numId w:val="1010"/>
        </w:numPr>
      </w:pPr>
      <w:r>
        <w:t xml:space="preserve">2026 delivery schedules unchanged.</w:t>
      </w:r>
    </w:p>
    <w:p>
      <w:pPr>
        <w:pStyle w:val="FirstParagraph"/>
      </w:pPr>
      <w:r>
        <w:t xml:space="preserve">This combination would improve confidence that HII has moved beyond the worst of its labor, contract and execution problems.</w:t>
      </w:r>
    </w:p>
    <w:bookmarkEnd w:id="31"/>
    <w:bookmarkStart w:id="32" w:name="base-case"/>
    <w:p>
      <w:pPr>
        <w:pStyle w:val="Heading3"/>
      </w:pPr>
      <w:r>
        <w:t xml:space="preserve">Base case</w:t>
      </w:r>
    </w:p>
    <w:p>
      <w:pPr>
        <w:pStyle w:val="Compact"/>
        <w:numPr>
          <w:ilvl w:val="0"/>
          <w:numId w:val="1011"/>
        </w:numPr>
      </w:pPr>
      <w:r>
        <w:t xml:space="preserve">Results broadly around consensus;</w:t>
      </w:r>
    </w:p>
    <w:p>
      <w:pPr>
        <w:pStyle w:val="Compact"/>
        <w:numPr>
          <w:ilvl w:val="0"/>
          <w:numId w:val="1011"/>
        </w:numPr>
      </w:pPr>
      <w:r>
        <w:t xml:space="preserve">Shipbuilding revenue close to $2.4 billion;</w:t>
      </w:r>
    </w:p>
    <w:p>
      <w:pPr>
        <w:pStyle w:val="Compact"/>
        <w:numPr>
          <w:ilvl w:val="0"/>
          <w:numId w:val="1011"/>
        </w:numPr>
      </w:pPr>
      <w:r>
        <w:t xml:space="preserve">Margins within guidance;</w:t>
      </w:r>
    </w:p>
    <w:p>
      <w:pPr>
        <w:pStyle w:val="Compact"/>
        <w:numPr>
          <w:ilvl w:val="0"/>
          <w:numId w:val="1011"/>
        </w:numPr>
      </w:pPr>
      <w:r>
        <w:t xml:space="preserve">Q2 free cash flow around breakeven;</w:t>
      </w:r>
    </w:p>
    <w:p>
      <w:pPr>
        <w:pStyle w:val="Compact"/>
        <w:numPr>
          <w:ilvl w:val="0"/>
          <w:numId w:val="1011"/>
        </w:numPr>
      </w:pPr>
      <w:r>
        <w:t xml:space="preserve">Full-year guidance reiterated; and</w:t>
      </w:r>
    </w:p>
    <w:p>
      <w:pPr>
        <w:pStyle w:val="Compact"/>
        <w:numPr>
          <w:ilvl w:val="0"/>
          <w:numId w:val="1011"/>
        </w:numPr>
      </w:pPr>
      <w:r>
        <w:t xml:space="preserve">No major schedule changes.</w:t>
      </w:r>
    </w:p>
    <w:p>
      <w:pPr>
        <w:pStyle w:val="FirstParagraph"/>
      </w:pPr>
      <w:r>
        <w:t xml:space="preserve">Given the stock’s decline, a clean in-line report with credible cash commentary could be received reasonably well.</w:t>
      </w:r>
    </w:p>
    <w:bookmarkEnd w:id="32"/>
    <w:bookmarkStart w:id="33" w:name="bear-case"/>
    <w:p>
      <w:pPr>
        <w:pStyle w:val="Heading3"/>
      </w:pPr>
      <w:r>
        <w:t xml:space="preserve">Bear case</w:t>
      </w:r>
    </w:p>
    <w:p>
      <w:pPr>
        <w:pStyle w:val="Compact"/>
        <w:numPr>
          <w:ilvl w:val="0"/>
          <w:numId w:val="1012"/>
        </w:numPr>
      </w:pPr>
      <w:r>
        <w:t xml:space="preserve">Another material carrier, submarine or amphibious-ship adjustment;</w:t>
      </w:r>
    </w:p>
    <w:p>
      <w:pPr>
        <w:pStyle w:val="Compact"/>
        <w:numPr>
          <w:ilvl w:val="0"/>
          <w:numId w:val="1012"/>
        </w:numPr>
      </w:pPr>
      <w:r>
        <w:t xml:space="preserve">Shipbuilding margin below 5.7%;</w:t>
      </w:r>
    </w:p>
    <w:p>
      <w:pPr>
        <w:pStyle w:val="Compact"/>
        <w:numPr>
          <w:ilvl w:val="0"/>
          <w:numId w:val="1012"/>
        </w:numPr>
      </w:pPr>
      <w:r>
        <w:t xml:space="preserve">Submarine contract timing slips again;</w:t>
      </w:r>
    </w:p>
    <w:p>
      <w:pPr>
        <w:pStyle w:val="Compact"/>
        <w:numPr>
          <w:ilvl w:val="0"/>
          <w:numId w:val="1012"/>
        </w:numPr>
      </w:pPr>
      <w:r>
        <w:t xml:space="preserve">SSN 800, LPD 30 or CVN 79 milestones move right;</w:t>
      </w:r>
    </w:p>
    <w:p>
      <w:pPr>
        <w:pStyle w:val="Compact"/>
        <w:numPr>
          <w:ilvl w:val="0"/>
          <w:numId w:val="1012"/>
        </w:numPr>
      </w:pPr>
      <w:r>
        <w:t xml:space="preserve">Q2 cash flow misses the guided range; or</w:t>
      </w:r>
    </w:p>
    <w:p>
      <w:pPr>
        <w:pStyle w:val="Compact"/>
        <w:numPr>
          <w:ilvl w:val="0"/>
          <w:numId w:val="1012"/>
        </w:numPr>
      </w:pPr>
      <w:r>
        <w:t xml:space="preserve">Management qualifies or reduces the</w:t>
      </w:r>
      <w:r>
        <w:t xml:space="preserve"> </w:t>
      </w:r>
      <m:oMath>
        <m:r>
          <m:t>500</m:t>
        </m:r>
        <m:r>
          <m:t>m</m:t>
        </m:r>
        <m:r>
          <m:t>i</m:t>
        </m:r>
        <m:r>
          <m:t>l</m:t>
        </m:r>
        <m:r>
          <m:t>l</m:t>
        </m:r>
        <m:r>
          <m:t>i</m:t>
        </m:r>
        <m:r>
          <m:t>o</m:t>
        </m:r>
        <m:r>
          <m:t>n</m:t>
        </m:r>
        <m:r>
          <m:rPr>
            <m:sty m:val="p"/>
          </m:rPr>
          <m:t>–</m:t>
        </m:r>
      </m:oMath>
      <w:r>
        <w:t xml:space="preserve">600 million full-year target.</w:t>
      </w:r>
    </w:p>
    <w:p>
      <w:pPr>
        <w:pStyle w:val="FirstParagraph"/>
      </w:pPr>
      <w:r>
        <w:t xml:space="preserve">The largest downside risk is not a small EPS miss; it is evidence that HII’s improved revenue throughput is being achieved without corresponding schedule, margin and cash improvement.</w:t>
      </w:r>
    </w:p>
    <w:bookmarkEnd w:id="33"/>
    <w:bookmarkEnd w:id="34"/>
    <w:bookmarkStart w:id="35" w:name="questions-investors-should-want-answered"/>
    <w:p>
      <w:pPr>
        <w:pStyle w:val="Heading2"/>
      </w:pPr>
      <w:r>
        <w:t xml:space="preserve">Questions investors should want answered</w:t>
      </w:r>
    </w:p>
    <w:p>
      <w:pPr>
        <w:pStyle w:val="Compact"/>
        <w:numPr>
          <w:ilvl w:val="0"/>
          <w:numId w:val="1013"/>
        </w:numPr>
      </w:pPr>
      <w:r>
        <w:rPr>
          <w:b/>
          <w:bCs/>
        </w:rPr>
        <w:t xml:space="preserve">Were the Block VI Virginia and next Columbia contractual agreements completed, and what is their expected 2026 cash and margin contribution?</w:t>
      </w:r>
    </w:p>
    <w:p>
      <w:pPr>
        <w:pStyle w:val="Compact"/>
        <w:numPr>
          <w:ilvl w:val="0"/>
          <w:numId w:val="1013"/>
        </w:numPr>
      </w:pPr>
      <w:r>
        <w:rPr>
          <w:b/>
          <w:bCs/>
        </w:rPr>
        <w:t xml:space="preserve">Is HII still on track for a 15% throughput improvement this year?</w:t>
      </w:r>
    </w:p>
    <w:p>
      <w:pPr>
        <w:pStyle w:val="Compact"/>
        <w:numPr>
          <w:ilvl w:val="0"/>
          <w:numId w:val="1013"/>
        </w:numPr>
      </w:pPr>
      <w:r>
        <w:rPr>
          <w:b/>
          <w:bCs/>
        </w:rPr>
        <w:t xml:space="preserve">What percentage of that improvement is coming from internal labor versus distributed shipbuilding?</w:t>
      </w:r>
    </w:p>
    <w:p>
      <w:pPr>
        <w:pStyle w:val="Compact"/>
        <w:numPr>
          <w:ilvl w:val="0"/>
          <w:numId w:val="1013"/>
        </w:numPr>
      </w:pPr>
      <w:r>
        <w:rPr>
          <w:b/>
          <w:bCs/>
        </w:rPr>
        <w:t xml:space="preserve">Are SSN 800, LPD 30 and CVN 79 still on their previously stated 2026 schedules?</w:t>
      </w:r>
    </w:p>
    <w:p>
      <w:pPr>
        <w:pStyle w:val="Compact"/>
        <w:numPr>
          <w:ilvl w:val="0"/>
          <w:numId w:val="1013"/>
        </w:numPr>
      </w:pPr>
      <w:r>
        <w:rPr>
          <w:b/>
          <w:bCs/>
        </w:rPr>
        <w:t xml:space="preserve">Has CVN 80 returned to a more efficient construction sequence, or should investors expect additional adjustments?</w:t>
      </w:r>
    </w:p>
    <w:p>
      <w:pPr>
        <w:pStyle w:val="Compact"/>
        <w:numPr>
          <w:ilvl w:val="0"/>
          <w:numId w:val="1013"/>
        </w:numPr>
      </w:pPr>
      <w:r>
        <w:rPr>
          <w:b/>
          <w:bCs/>
        </w:rPr>
        <w:t xml:space="preserve">What gives management confidence in generating roughly $1 billion of second-half free cash flow?</w:t>
      </w:r>
    </w:p>
    <w:p>
      <w:pPr>
        <w:pStyle w:val="Compact"/>
        <w:numPr>
          <w:ilvl w:val="0"/>
          <w:numId w:val="1013"/>
        </w:numPr>
      </w:pPr>
      <w:r>
        <w:rPr>
          <w:b/>
          <w:bCs/>
        </w:rPr>
        <w:t xml:space="preserve">When should Mission Technologies margins begin recovering from the current autonomous-systems investment cycle?</w:t>
      </w:r>
    </w:p>
    <w:p>
      <w:pPr>
        <w:pStyle w:val="Compact"/>
        <w:numPr>
          <w:ilvl w:val="0"/>
          <w:numId w:val="1013"/>
        </w:numPr>
      </w:pPr>
      <w:r>
        <w:rPr>
          <w:b/>
          <w:bCs/>
        </w:rPr>
        <w:t xml:space="preserve">Could sustained shipbuilding growth support an increase to the</w:t>
      </w:r>
      <w:r>
        <w:rPr>
          <w:b/>
          <w:bCs/>
        </w:rPr>
        <w:t xml:space="preserve"> </w:t>
      </w:r>
      <m:oMath>
        <m:r>
          <m:t>9.7</m:t>
        </m:r>
        <m:r>
          <m:t>b</m:t>
        </m:r>
        <m:r>
          <m:t>i</m:t>
        </m:r>
        <m:r>
          <m:t>l</m:t>
        </m:r>
        <m:r>
          <m:t>l</m:t>
        </m:r>
        <m:r>
          <m:t>i</m:t>
        </m:r>
        <m:r>
          <m:t>o</m:t>
        </m:r>
        <m:r>
          <m:t>n</m:t>
        </m:r>
        <m:r>
          <m:rPr>
            <m:sty m:val="p"/>
          </m:rPr>
          <m:t>–</m:t>
        </m:r>
      </m:oMath>
      <w:r>
        <w:rPr>
          <w:b/>
          <w:bCs/>
        </w:rPr>
        <w:t xml:space="preserve">9.9 billion revenue range?</w:t>
      </w:r>
    </w:p>
    <w:bookmarkEnd w:id="35"/>
    <w:bookmarkStart w:id="36" w:name="bottom-line"/>
    <w:p>
      <w:pPr>
        <w:pStyle w:val="Heading2"/>
      </w:pPr>
      <w:r>
        <w:t xml:space="preserve">Bottom line</w:t>
      </w:r>
    </w:p>
    <w:p>
      <w:pPr>
        <w:pStyle w:val="FirstParagraph"/>
      </w:pPr>
      <w:r>
        <w:t xml:space="preserve">This is primarily an</w:t>
      </w:r>
      <w:r>
        <w:t xml:space="preserve"> </w:t>
      </w:r>
      <w:r>
        <w:rPr>
          <w:b/>
          <w:bCs/>
        </w:rPr>
        <w:t xml:space="preserve">execution and cash-flow quarter</w:t>
      </w:r>
      <w:r>
        <w:t xml:space="preserve">, not an order-demand quarter. Navy demand, backlog and the long-term shipbuilding funding environment remain supportive. The debate is whether HII can convert that demand into ships, margins and cash at a faster and more predictable pace.</w:t>
      </w:r>
    </w:p>
    <w:p>
      <w:pPr>
        <w:pStyle w:val="BodyText"/>
      </w:pPr>
      <w:r>
        <w:t xml:space="preserve">A clean quarter—particularly one without negative contract adjustments, with submarine contract clarity and a firm free-cash-flow reaffirmation—would be meaningful after the stock’s sharp pullback. The principal risk is that strong revenue continues to mask unresolved program inefficiencies and pushes even more of the year’s cash-generation burden into the final six months.</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www.benzinga.com/quote/hii/earnings?utm_source=openai" TargetMode="External" /><Relationship Type="http://schemas.openxmlformats.org/officeDocument/2006/relationships/hyperlink" Id="rId21" Target="https://www.hii.com/news/hii-christens-guided-missile-destroyer-george-m-neal-ddg-131" TargetMode="External" /><Relationship Type="http://schemas.openxmlformats.org/officeDocument/2006/relationships/hyperlink" Id="rId12" Target="https://www.hii.com/news/hii-reports-first-quarter-2026-earnings-results" TargetMode="External" /><Relationship Type="http://schemas.openxmlformats.org/officeDocument/2006/relationships/hyperlink" Id="rId13" Target="https://www.hii.com/news/hiis-ingalls-shipbuilding-expands-distributed-shipbuilding-to-amphibious-ships" TargetMode="External" /><Relationship Type="http://schemas.openxmlformats.org/officeDocument/2006/relationships/hyperlink" Id="rId23" Target="https://www.hii.com/news/hiis-romulus-usv-advances-to-us-navy-medium-unmanned-surface-vessel-at-sea-testing-phase" TargetMode="External" /></Relationships>
</file>

<file path=word/_rels/footnotes.xml.rels><?xml version="1.0" encoding="UTF-8"?><Relationships xmlns="http://schemas.openxmlformats.org/package/2006/relationships"><Relationship Type="http://schemas.openxmlformats.org/officeDocument/2006/relationships/hyperlink" Id="rId10" Target="https://www.benzinga.com/quote/hii/earnings?utm_source=openai" TargetMode="External" /><Relationship Type="http://schemas.openxmlformats.org/officeDocument/2006/relationships/hyperlink" Id="rId21" Target="https://www.hii.com/news/hii-christens-guided-missile-destroyer-george-m-neal-ddg-131" TargetMode="External" /><Relationship Type="http://schemas.openxmlformats.org/officeDocument/2006/relationships/hyperlink" Id="rId12" Target="https://www.hii.com/news/hii-reports-first-quarter-2026-earnings-results" TargetMode="External" /><Relationship Type="http://schemas.openxmlformats.org/officeDocument/2006/relationships/hyperlink" Id="rId13" Target="https://www.hii.com/news/hiis-ingalls-shipbuilding-expands-distributed-shipbuilding-to-amphibious-ships" TargetMode="External" /><Relationship Type="http://schemas.openxmlformats.org/officeDocument/2006/relationships/hyperlink" Id="rId23" Target="https://www.hii.com/news/hiis-romulus-usv-advances-to-us-navy-medium-unmanned-surface-vessel-at-sea-testing-phas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2026-07-29T18:40:42Z</dcterms:created>
  <dcterms:modified xsi:type="dcterms:W3CDTF">2026-07-29T18:40:42Z</dcterms:modified>
</cp:coreProperties>
</file>

<file path=docProps/custom.xml><?xml version="1.0" encoding="utf-8"?>
<Properties xmlns="http://schemas.openxmlformats.org/officeDocument/2006/custom-properties" xmlns:vt="http://schemas.openxmlformats.org/officeDocument/2006/docPropsVTypes"/>
</file>