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hii-2q26-earnings-preview"/>
    <w:p>
      <w:pPr>
        <w:pStyle w:val="Heading1"/>
      </w:pPr>
      <w:r>
        <w:t xml:space="preserve">HII 2Q26 Earnings Preview</w:t>
      </w:r>
    </w:p>
    <w:p>
      <w:pPr>
        <w:pStyle w:val="FirstParagraph"/>
      </w:pPr>
      <w:r>
        <w:rPr>
          <w:b/>
          <w:bCs/>
        </w:rPr>
        <w:t xml:space="preserve">Report date:</w:t>
      </w:r>
      <w:r>
        <w:t xml:space="preserve"> </w:t>
      </w:r>
      <w:r>
        <w:t xml:space="preserve">Thursday, July 30, 2026</w:t>
      </w:r>
      <w:r>
        <w:br/>
      </w:r>
      <w:r>
        <w:rPr>
          <w:b/>
          <w:bCs/>
        </w:rPr>
        <w:t xml:space="preserve">Event:</w:t>
      </w:r>
      <w:r>
        <w:t xml:space="preserve"> </w:t>
      </w:r>
      <w:r>
        <w:t xml:space="preserve">2026Q2 Earnings Call</w:t>
      </w:r>
    </w:p>
    <w:bookmarkStart w:id="9" w:name="X3df8ba40b5ed63fa53c08f6929ec38777adf23d"/>
    <w:p>
      <w:pPr>
        <w:pStyle w:val="Heading2"/>
      </w:pPr>
      <w:r>
        <w:t xml:space="preserve">Investment view: execution and cash conversion matter more than headline sales</w:t>
      </w:r>
    </w:p>
    <w:p>
      <w:pPr>
        <w:pStyle w:val="FirstParagraph"/>
      </w:pPr>
      <w:r>
        <w:t xml:space="preserve">HII enters 2Q26 with a favorable demand backdrop, accelerating shipyard revenue, and a large $54.0 billion backlog. The central question is whether the company can translate higher shipbuilding throughput into</w:t>
      </w:r>
      <w:r>
        <w:t xml:space="preserve"> </w:t>
      </w:r>
      <w:r>
        <w:rPr>
          <w:b/>
          <w:bCs/>
        </w:rPr>
        <w:t xml:space="preserve">durably better margins and cash flow</w:t>
      </w:r>
      <w:r>
        <w:t xml:space="preserve"> </w:t>
      </w:r>
      <w:r>
        <w:t xml:space="preserve">while containing execution risk on legacy/pre-COVID shipbuilding programs.</w:t>
      </w:r>
    </w:p>
    <w:p>
      <w:pPr>
        <w:pStyle w:val="BodyText"/>
      </w:pPr>
      <w:r>
        <w:t xml:space="preserve">Management’s prior-quarter outlook implies another quarter of healthy shipbuilding activity—but not yet a major margin inflection. Accordingly, the most market-relevant items will be:</w:t>
      </w:r>
    </w:p>
    <w:p>
      <w:pPr>
        <w:pStyle w:val="Compact"/>
        <w:numPr>
          <w:ilvl w:val="0"/>
          <w:numId w:val="1001"/>
        </w:numPr>
      </w:pPr>
      <w:r>
        <w:rPr>
          <w:b/>
          <w:bCs/>
        </w:rPr>
        <w:t xml:space="preserve">Confirmation of shipbuilding throughput improvement and revenue growth</w:t>
      </w:r>
    </w:p>
    <w:p>
      <w:pPr>
        <w:pStyle w:val="Compact"/>
        <w:numPr>
          <w:ilvl w:val="0"/>
          <w:numId w:val="1001"/>
        </w:numPr>
      </w:pPr>
      <w:r>
        <w:rPr>
          <w:b/>
          <w:bCs/>
        </w:rPr>
        <w:t xml:space="preserve">Margin performance at Newport News and Ingalls, especially on carriers and amphibious ships</w:t>
      </w:r>
    </w:p>
    <w:p>
      <w:pPr>
        <w:pStyle w:val="Compact"/>
        <w:numPr>
          <w:ilvl w:val="0"/>
          <w:numId w:val="1001"/>
        </w:numPr>
      </w:pPr>
      <w:r>
        <w:rPr>
          <w:b/>
          <w:bCs/>
        </w:rPr>
        <w:t xml:space="preserve">Status of the Virginia Block VI and Columbia Build II contract awards</w:t>
      </w:r>
    </w:p>
    <w:p>
      <w:pPr>
        <w:pStyle w:val="Compact"/>
        <w:numPr>
          <w:ilvl w:val="0"/>
          <w:numId w:val="1001"/>
        </w:numPr>
      </w:pPr>
      <w:r>
        <w:rPr>
          <w:b/>
          <w:bCs/>
        </w:rPr>
        <w:t xml:space="preserve">Confidence in the steep second-half free-cash-flow ramp needed to retain FY26 guidance</w:t>
      </w:r>
    </w:p>
    <w:p>
      <w:pPr>
        <w:pStyle w:val="Compact"/>
        <w:numPr>
          <w:ilvl w:val="0"/>
          <w:numId w:val="1001"/>
        </w:numPr>
      </w:pPr>
      <w:r>
        <w:rPr>
          <w:b/>
          <w:bCs/>
        </w:rPr>
        <w:t xml:space="preserve">Updates on major delivery milestones and labor/supplier capacity</w:t>
      </w:r>
    </w:p>
    <w:p>
      <w:pPr>
        <w:pStyle w:val="FirstParagraph"/>
      </w:pPr>
      <w:r>
        <w:t xml:space="preserve">The stock closed at</w:t>
      </w:r>
      <w:r>
        <w:t xml:space="preserve"> </w:t>
      </w:r>
      <w:r>
        <w:rPr>
          <w:b/>
          <w:bCs/>
        </w:rPr>
        <w:t xml:space="preserve">$287.55 on July 29</w:t>
      </w:r>
      <w:r>
        <w:t xml:space="preserve">, down about</w:t>
      </w:r>
      <w:r>
        <w:t xml:space="preserve"> </w:t>
      </w:r>
      <w:r>
        <w:rPr>
          <w:b/>
          <w:bCs/>
        </w:rPr>
        <w:t xml:space="preserve">18% year-to-date</w:t>
      </w:r>
      <w:r>
        <w:t xml:space="preserve"> </w:t>
      </w:r>
      <w:r>
        <w:t xml:space="preserve">and roughly</w:t>
      </w:r>
      <w:r>
        <w:t xml:space="preserve"> </w:t>
      </w:r>
      <w:r>
        <w:rPr>
          <w:b/>
          <w:bCs/>
        </w:rPr>
        <w:t xml:space="preserve">21% below its April 30 close</w:t>
      </w:r>
      <w:r>
        <w:t xml:space="preserve">, suggesting investors are looking for proof that operating execution and cash conversion can catch up with the strong naval-demand narrative.</w:t>
      </w:r>
    </w:p>
    <w:p>
      <w:r>
        <w:pict>
          <v:rect style="width:0;height:1.5pt" o:hralign="center" o:hrstd="t" o:hr="t"/>
        </w:pict>
      </w:r>
    </w:p>
    <w:bookmarkEnd w:id="9"/>
    <w:bookmarkStart w:id="10" w:name="what-hii-has-guided-for-2q26"/>
    <w:p>
      <w:pPr>
        <w:pStyle w:val="Heading2"/>
      </w:pPr>
      <w:r>
        <w:t xml:space="preserve">What HII has guided for 2Q26</w:t>
      </w:r>
    </w:p>
    <w:p>
      <w:pPr>
        <w:pStyle w:val="FirstParagraph"/>
      </w:pPr>
      <w:r>
        <w:t xml:space="preserve">On its 1Q26 call, HII provided the following quarter-specific outlook: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HII 2Q26 outlook</w:t>
            </w:r>
          </w:p>
        </w:tc>
        <w:tc>
          <w:tcPr/>
          <w:p>
            <w:pPr>
              <w:pStyle w:val="Compact"/>
              <w:jc w:val="right"/>
            </w:pPr>
            <w:r>
              <w:t xml:space="preserve">2Q25 actual</w:t>
            </w:r>
          </w:p>
        </w:tc>
      </w:tr>
      <w:tr>
        <w:tc>
          <w:tcPr/>
          <w:p>
            <w:pPr>
              <w:pStyle w:val="Compact"/>
            </w:pPr>
            <w:r>
              <w:t xml:space="preserve">Shipbuilding revenue</w:t>
            </w:r>
          </w:p>
        </w:tc>
        <w:tc>
          <w:tcPr/>
          <w:p>
            <w:pPr>
              <w:pStyle w:val="Compact"/>
              <w:jc w:val="right"/>
            </w:pPr>
            <w:r>
              <w:t xml:space="preserve">~$2.4B</w:t>
            </w:r>
          </w:p>
        </w:tc>
        <w:tc>
          <w:tcPr/>
          <w:p>
            <w:pPr>
              <w:pStyle w:val="Compact"/>
              <w:jc w:val="right"/>
            </w:pPr>
            <w:r>
              <w:t xml:space="preserve">~$2.33B</w:t>
            </w:r>
          </w:p>
        </w:tc>
      </w:tr>
      <w:tr>
        <w:tc>
          <w:tcPr/>
          <w:p>
            <w:pPr>
              <w:pStyle w:val="Compact"/>
            </w:pPr>
            <w:r>
              <w:t xml:space="preserve">Shipbuilding operating margin</w:t>
            </w:r>
          </w:p>
        </w:tc>
        <w:tc>
          <w:tcPr/>
          <w:p>
            <w:pPr>
              <w:pStyle w:val="Compact"/>
              <w:jc w:val="right"/>
            </w:pPr>
            <w:r>
              <w:t xml:space="preserve">5.7%–6.0%</w:t>
            </w:r>
          </w:p>
        </w:tc>
        <w:tc>
          <w:tcPr/>
          <w:p>
            <w:pPr>
              <w:pStyle w:val="Compact"/>
              <w:jc w:val="right"/>
            </w:pPr>
            <w:r>
              <w:t xml:space="preserve">~5.8%</w:t>
            </w:r>
          </w:p>
        </w:tc>
      </w:tr>
      <w:tr>
        <w:tc>
          <w:tcPr/>
          <w:p>
            <w:pPr>
              <w:pStyle w:val="Compact"/>
            </w:pPr>
            <w:r>
              <w:t xml:space="preserve">Mission Technologies revenue</w:t>
            </w:r>
          </w:p>
        </w:tc>
        <w:tc>
          <w:tcPr/>
          <w:p>
            <w:pPr>
              <w:pStyle w:val="Compact"/>
              <w:jc w:val="right"/>
            </w:pPr>
            <w:r>
              <w:t xml:space="preserve">~$750M</w:t>
            </w:r>
          </w:p>
        </w:tc>
        <w:tc>
          <w:tcPr/>
          <w:p>
            <w:pPr>
              <w:pStyle w:val="Compact"/>
              <w:jc w:val="right"/>
            </w:pPr>
            <w:r>
              <w:t xml:space="preserve">$791M</w:t>
            </w:r>
          </w:p>
        </w:tc>
      </w:tr>
      <w:tr>
        <w:tc>
          <w:tcPr/>
          <w:p>
            <w:pPr>
              <w:pStyle w:val="Compact"/>
            </w:pPr>
            <w:r>
              <w:t xml:space="preserve">Mission Technologies operating margin</w:t>
            </w:r>
          </w:p>
        </w:tc>
        <w:tc>
          <w:tcPr/>
          <w:p>
            <w:pPr>
              <w:pStyle w:val="Compact"/>
              <w:jc w:val="right"/>
            </w:pPr>
            <w:r>
              <w:t xml:space="preserve">~4.0%</w:t>
            </w:r>
          </w:p>
        </w:tc>
        <w:tc>
          <w:tcPr/>
          <w:p>
            <w:pPr>
              <w:pStyle w:val="Compact"/>
              <w:jc w:val="right"/>
            </w:pPr>
            <w:r>
              <w:t xml:space="preserve">4.6%</w:t>
            </w:r>
          </w:p>
        </w:tc>
      </w:tr>
      <w:tr>
        <w:tc>
          <w:tcPr/>
          <w:p>
            <w:pPr>
              <w:pStyle w:val="Compact"/>
            </w:pPr>
            <w:r>
              <w:t xml:space="preserve">Free cash flow</w:t>
            </w:r>
          </w:p>
        </w:tc>
        <w:tc>
          <w:tcPr/>
          <w:p>
            <w:pPr>
              <w:pStyle w:val="Compact"/>
              <w:jc w:val="right"/>
            </w:pPr>
            <w:r>
              <w:rPr>
                <w:b/>
                <w:bCs/>
              </w:rPr>
              <w:t xml:space="preserve">(</w:t>
            </w:r>
            <m:oMath>
              <m:r>
                <m:t>100</m:t>
              </m:r>
              <m:r>
                <m:t>M</m:t>
              </m:r>
              <m:r>
                <m:rPr>
                  <m:sty m:val="p"/>
                </m:rPr>
                <m:t>)</m:t>
              </m:r>
              <m:r>
                <m:t>t</m:t>
              </m:r>
              <m:r>
                <m:t>o</m:t>
              </m:r>
              <m:r>
                <m:rPr>
                  <m:sty m:val="p"/>
                </m:rPr>
                <m:t>+</m:t>
              </m:r>
            </m:oMath>
            <w:r>
              <w:rPr>
                <w:b/>
                <w:bCs/>
              </w:rPr>
              <w:t xml:space="preserve">100M</w:t>
            </w:r>
          </w:p>
        </w:tc>
        <w:tc>
          <w:tcPr/>
          <w:p>
            <w:pPr>
              <w:pStyle w:val="Compact"/>
              <w:jc w:val="right"/>
            </w:pPr>
            <w:r>
              <w:t xml:space="preserve">$730M</w:t>
            </w:r>
          </w:p>
        </w:tc>
      </w:tr>
      <w:tr>
        <w:tc>
          <w:tcPr/>
          <w:p>
            <w:pPr>
              <w:pStyle w:val="Compact"/>
            </w:pPr>
            <w:r>
              <w:t xml:space="preserve">Effective tax rate</w:t>
            </w:r>
          </w:p>
        </w:tc>
        <w:tc>
          <w:tcPr/>
          <w:p>
            <w:pPr>
              <w:pStyle w:val="Compact"/>
              <w:jc w:val="right"/>
            </w:pPr>
            <w:r>
              <w:t xml:space="preserve">~21%</w:t>
            </w:r>
          </w:p>
        </w:tc>
        <w:tc>
          <w:tcPr/>
          <w:p>
            <w:pPr>
              <w:pStyle w:val="Compact"/>
              <w:jc w:val="right"/>
            </w:pPr>
            <w:r>
              <w:t xml:space="preserve">~19%</w:t>
            </w:r>
          </w:p>
        </w:tc>
      </w:tr>
    </w:tbl>
    <w:p>
      <w:pPr>
        <w:pStyle w:val="BodyText"/>
      </w:pPr>
      <w:r>
        <w:t xml:space="preserve">The implied setup is notable: the expected shipbuilding margin range represents only modest improvement from the</w:t>
      </w:r>
      <w:r>
        <w:t xml:space="preserve"> </w:t>
      </w:r>
      <w:r>
        <w:rPr>
          <w:b/>
          <w:bCs/>
        </w:rPr>
        <w:t xml:space="preserve">5.7% combined shipbuilding margin reported in 1Q26</w:t>
      </w:r>
      <w:r>
        <w:t xml:space="preserve">. That means the quarter is likely to be judged less on revenue and more on whether HII demonstrates that cost, schedule, labor, and supplier trends are moving in the right direction.</w:t>
      </w:r>
    </w:p>
    <w:p>
      <w:r>
        <w:pict>
          <v:rect style="width:0;height:1.5pt" o:hralign="center" o:hrstd="t" o:hr="t"/>
        </w:pict>
      </w:r>
    </w:p>
    <w:bookmarkEnd w:id="10"/>
    <w:bookmarkStart w:id="14" w:name="X37ec926e04269ee7fc41a0a2309d999399eebb7"/>
    <w:p>
      <w:pPr>
        <w:pStyle w:val="Heading2"/>
      </w:pPr>
      <w:r>
        <w:t xml:space="preserve">The core debate: revenue growth is visible; margin recovery is not yet proven</w:t>
      </w:r>
    </w:p>
    <w:bookmarkStart w:id="11" w:name="Xb008a29796ee66536f528dbf40aabd69e113d41"/>
    <w:p>
      <w:pPr>
        <w:pStyle w:val="Heading3"/>
      </w:pPr>
      <w:r>
        <w:t xml:space="preserve">1. Shipbuilding throughput remains the key operational KPI</w:t>
      </w:r>
    </w:p>
    <w:p>
      <w:pPr>
        <w:pStyle w:val="FirstParagraph"/>
      </w:pPr>
      <w:r>
        <w:t xml:space="preserve">HII reported 1Q26 revenue growth of</w:t>
      </w:r>
      <w:r>
        <w:t xml:space="preserve"> </w:t>
      </w:r>
      <w:r>
        <w:rPr>
          <w:b/>
          <w:bCs/>
        </w:rPr>
        <w:t xml:space="preserve">13%</w:t>
      </w:r>
      <w:r>
        <w:t xml:space="preserve">, with shipbuilding revenue up nearly</w:t>
      </w:r>
      <w:r>
        <w:t xml:space="preserve"> </w:t>
      </w:r>
      <w:r>
        <w:rPr>
          <w:b/>
          <w:bCs/>
        </w:rPr>
        <w:t xml:space="preserve">18%</w:t>
      </w:r>
      <w:r>
        <w:t xml:space="preserve"> </w:t>
      </w:r>
      <w:r>
        <w:t xml:space="preserve">year over year. Newport News revenue increased</w:t>
      </w:r>
      <w:r>
        <w:t xml:space="preserve"> </w:t>
      </w:r>
      <w:r>
        <w:rPr>
          <w:b/>
          <w:bCs/>
        </w:rPr>
        <w:t xml:space="preserve">19%</w:t>
      </w:r>
      <w:r>
        <w:t xml:space="preserve">, while Ingalls increased</w:t>
      </w:r>
      <w:r>
        <w:t xml:space="preserve"> </w:t>
      </w:r>
      <w:r>
        <w:rPr>
          <w:b/>
          <w:bCs/>
        </w:rPr>
        <w:t xml:space="preserve">14%</w:t>
      </w:r>
      <w:r>
        <w:t xml:space="preserve">, driven by greater activity across carriers, submarines, and surface combatants.</w:t>
      </w:r>
    </w:p>
    <w:p>
      <w:pPr>
        <w:pStyle w:val="BodyText"/>
      </w:pPr>
      <w:r>
        <w:t xml:space="preserve">Management said it remained on track for approximately</w:t>
      </w:r>
      <w:r>
        <w:t xml:space="preserve"> </w:t>
      </w:r>
      <w:r>
        <w:rPr>
          <w:b/>
          <w:bCs/>
        </w:rPr>
        <w:t xml:space="preserve">15% shipbuilding-throughput improvement in FY26</w:t>
      </w:r>
      <w:r>
        <w:t xml:space="preserve">, supported by:</w:t>
      </w:r>
    </w:p>
    <w:p>
      <w:pPr>
        <w:pStyle w:val="Compact"/>
        <w:numPr>
          <w:ilvl w:val="0"/>
          <w:numId w:val="1002"/>
        </w:numPr>
      </w:pPr>
      <w:r>
        <w:t xml:space="preserve">More than 1,600 shipbuilder hires in 1Q;</w:t>
      </w:r>
    </w:p>
    <w:p>
      <w:pPr>
        <w:pStyle w:val="Compact"/>
        <w:numPr>
          <w:ilvl w:val="0"/>
          <w:numId w:val="1002"/>
        </w:numPr>
      </w:pPr>
      <w:r>
        <w:t xml:space="preserve">A targeted</w:t>
      </w:r>
      <w:r>
        <w:t xml:space="preserve"> </w:t>
      </w:r>
      <w:r>
        <w:rPr>
          <w:b/>
          <w:bCs/>
        </w:rPr>
        <w:t xml:space="preserve">30% year-over-year increase in outsourced hours</w:t>
      </w:r>
      <w:r>
        <w:t xml:space="preserve">;</w:t>
      </w:r>
    </w:p>
    <w:p>
      <w:pPr>
        <w:pStyle w:val="Compact"/>
        <w:numPr>
          <w:ilvl w:val="0"/>
          <w:numId w:val="1002"/>
        </w:numPr>
      </w:pPr>
      <w:r>
        <w:t xml:space="preserve">Expanded distributed-shipbuilding capacity, including Charleston operations;</w:t>
      </w:r>
    </w:p>
    <w:p>
      <w:pPr>
        <w:pStyle w:val="Compact"/>
        <w:numPr>
          <w:ilvl w:val="0"/>
          <w:numId w:val="1002"/>
        </w:numPr>
      </w:pPr>
      <w:r>
        <w:t xml:space="preserve">Continued capital investment in submarine and carrier production capabilities.</w:t>
      </w:r>
    </w:p>
    <w:p>
      <w:pPr>
        <w:pStyle w:val="FirstParagraph"/>
      </w:pPr>
      <w:r>
        <w:t xml:space="preserve">For 2Q, investors should look for tangible evidence beyond hiring figures: labor productivity, work sequencing, supplier performance, outsourced production hours, and whether revenue growth is increasingly supported by direct labor throughput rather than material timing.</w:t>
      </w:r>
    </w:p>
    <w:p>
      <w:pPr>
        <w:pStyle w:val="BodyText"/>
      </w:pPr>
      <w:r>
        <w:rPr>
          <w:b/>
          <w:bCs/>
        </w:rPr>
        <w:t xml:space="preserve">What would be constructive:</w:t>
      </w:r>
      <w:r>
        <w:t xml:space="preserve"> </w:t>
      </w:r>
      <w:r>
        <w:t xml:space="preserve">maintaining double-digit shipbuilding growth, reiterating the throughput target, and offering evidence that workforce retention/proficiency is improving.</w:t>
      </w:r>
    </w:p>
    <w:p>
      <w:pPr>
        <w:pStyle w:val="BodyText"/>
      </w:pPr>
      <w:r>
        <w:rPr>
          <w:b/>
          <w:bCs/>
        </w:rPr>
        <w:t xml:space="preserve">What would concern investors:</w:t>
      </w:r>
      <w:r>
        <w:t xml:space="preserve"> </w:t>
      </w:r>
      <w:r>
        <w:t xml:space="preserve">a lower throughput outlook, further schedule disruptions, or comments indicating that capacity gains are being offset by rework, labor inefficiency, or supplier bottlenecks.</w:t>
      </w:r>
    </w:p>
    <w:p>
      <w:r>
        <w:pict>
          <v:rect style="width:0;height:1.5pt" o:hralign="center" o:hrstd="t" o:hr="t"/>
        </w:pict>
      </w:r>
    </w:p>
    <w:bookmarkEnd w:id="11"/>
    <w:bookmarkStart w:id="12" w:name="Xadf4e3196f8349bc6fa8d0e2562e08d243879d7"/>
    <w:p>
      <w:pPr>
        <w:pStyle w:val="Heading3"/>
      </w:pPr>
      <w:r>
        <w:t xml:space="preserve">2. Newport News margins are the largest swing factor</w:t>
      </w:r>
    </w:p>
    <w:p>
      <w:pPr>
        <w:pStyle w:val="FirstParagraph"/>
      </w:pPr>
      <w:r>
        <w:t xml:space="preserve">Newport News is HII’s largest segment and the main determinant of the company’s shipbuilding earnings power. In 1Q26, the segment generated</w:t>
      </w:r>
      <w:r>
        <w:t xml:space="preserve"> </w:t>
      </w:r>
      <w:r>
        <w:rPr>
          <w:b/>
          <w:bCs/>
        </w:rPr>
        <w:t xml:space="preserve">$1.67 billion of revenue</w:t>
      </w:r>
      <w:r>
        <w:t xml:space="preserve">, up 19%, but operating margin fell to</w:t>
      </w:r>
      <w:r>
        <w:t xml:space="preserve"> </w:t>
      </w:r>
      <w:r>
        <w:rPr>
          <w:b/>
          <w:bCs/>
        </w:rPr>
        <w:t xml:space="preserve">5.3%</w:t>
      </w:r>
      <w:r>
        <w:t xml:space="preserve"> </w:t>
      </w:r>
      <w:r>
        <w:t xml:space="preserve">from 6.1% a year earlier.</w:t>
      </w:r>
    </w:p>
    <w:p>
      <w:pPr>
        <w:pStyle w:val="BodyText"/>
      </w:pPr>
      <w:r>
        <w:t xml:space="preserve">The segment’s earnings were pressured by lower performance in aircraft-carrier construction, while the prior-year comparison also benefited from Virginia-class submarine contract adjustments and incentives. HII recorded a</w:t>
      </w:r>
      <w:r>
        <w:t xml:space="preserve"> </w:t>
      </w:r>
      <w:r>
        <w:rPr>
          <w:b/>
          <w:bCs/>
        </w:rPr>
        <w:t xml:space="preserve">$9 million net unfavorable cumulative catch-up adjustment</w:t>
      </w:r>
      <w:r>
        <w:t xml:space="preserve"> </w:t>
      </w:r>
      <w:r>
        <w:t xml:space="preserve">at Newport News in 1Q.</w:t>
      </w:r>
    </w:p>
    <w:p>
      <w:pPr>
        <w:pStyle w:val="BodyText"/>
      </w:pPr>
      <w:r>
        <w:t xml:space="preserve">The focus for 2Q will be whether carrier execution has stabilized:</w:t>
      </w:r>
    </w:p>
    <w:p>
      <w:pPr>
        <w:pStyle w:val="Compact"/>
        <w:numPr>
          <w:ilvl w:val="0"/>
          <w:numId w:val="1003"/>
        </w:numPr>
      </w:pPr>
      <w:r>
        <w:rPr>
          <w:b/>
          <w:bCs/>
        </w:rPr>
        <w:t xml:space="preserve">CVN 79 John F. Kennedy:</w:t>
      </w:r>
      <w:r>
        <w:t xml:space="preserve"> </w:t>
      </w:r>
      <w:r>
        <w:t xml:space="preserve">builder’s trials were completed in 1Q; acceptance trials are expected later in 2026.</w:t>
      </w:r>
    </w:p>
    <w:p>
      <w:pPr>
        <w:pStyle w:val="Compact"/>
        <w:numPr>
          <w:ilvl w:val="0"/>
          <w:numId w:val="1003"/>
        </w:numPr>
      </w:pPr>
      <w:r>
        <w:rPr>
          <w:b/>
          <w:bCs/>
        </w:rPr>
        <w:t xml:space="preserve">CVN 80 Enterprise / CVN 81 Doris Miller:</w:t>
      </w:r>
      <w:r>
        <w:t xml:space="preserve"> </w:t>
      </w:r>
      <w:r>
        <w:t xml:space="preserve">management previously cited sequencing challenges and missing equipment on carrier work, although it also described progress in structural completion and systems integration.</w:t>
      </w:r>
    </w:p>
    <w:p>
      <w:pPr>
        <w:pStyle w:val="Compact"/>
        <w:numPr>
          <w:ilvl w:val="0"/>
          <w:numId w:val="1003"/>
        </w:numPr>
      </w:pPr>
      <w:r>
        <w:rPr>
          <w:b/>
          <w:bCs/>
        </w:rPr>
        <w:t xml:space="preserve">SSN 800 Arkansas:</w:t>
      </w:r>
      <w:r>
        <w:t xml:space="preserve"> </w:t>
      </w:r>
      <w:r>
        <w:t xml:space="preserve">still expected to be delivered in the back half of 2026.</w:t>
      </w:r>
    </w:p>
    <w:p>
      <w:pPr>
        <w:pStyle w:val="Compact"/>
        <w:numPr>
          <w:ilvl w:val="0"/>
          <w:numId w:val="1003"/>
        </w:numPr>
      </w:pPr>
      <w:r>
        <w:rPr>
          <w:b/>
          <w:bCs/>
        </w:rPr>
        <w:t xml:space="preserve">Virginia and Columbia contracts:</w:t>
      </w:r>
      <w:r>
        <w:t xml:space="preserve"> </w:t>
      </w:r>
      <w:r>
        <w:t xml:space="preserve">management had expected the next awards during 2Q; confirmation, timing, and associated economics are highly relevant.</w:t>
      </w:r>
    </w:p>
    <w:p>
      <w:pPr>
        <w:pStyle w:val="FirstParagraph"/>
      </w:pPr>
      <w:r>
        <w:t xml:space="preserve">A clean quarter without meaningful unfavorable program adjustments would be a meaningful positive, even if margins remain within the guided range. Conversely, another carrier-related charge or incremental schedule risk would likely overwhelm otherwise solid revenue growth.</w:t>
      </w:r>
    </w:p>
    <w:p>
      <w:r>
        <w:pict>
          <v:rect style="width:0;height:1.5pt" o:hralign="center" o:hrstd="t" o:hr="t"/>
        </w:pict>
      </w:r>
    </w:p>
    <w:bookmarkEnd w:id="12"/>
    <w:bookmarkStart w:id="13" w:name="Xd7ba61582821175922f4afef1e899713746d54c"/>
    <w:p>
      <w:pPr>
        <w:pStyle w:val="Heading3"/>
      </w:pPr>
      <w:r>
        <w:t xml:space="preserve">3. Ingalls needs to show that LHA-8 pressure is contained</w:t>
      </w:r>
    </w:p>
    <w:p>
      <w:pPr>
        <w:pStyle w:val="FirstParagraph"/>
      </w:pPr>
      <w:r>
        <w:t xml:space="preserve">Ingalls delivered 1Q26 revenue growth of 14%, primarily from surface-combatant volume, but its margin fell to</w:t>
      </w:r>
      <w:r>
        <w:t xml:space="preserve"> </w:t>
      </w:r>
      <w:r>
        <w:rPr>
          <w:b/>
          <w:bCs/>
        </w:rPr>
        <w:t xml:space="preserve">6.8%</w:t>
      </w:r>
      <w:r>
        <w:t xml:space="preserve"> </w:t>
      </w:r>
      <w:r>
        <w:t xml:space="preserve">from 7.2%. Management attributed the pressure to lower performance on amphibious assault ships, including a modest adjustment tied to risk around</w:t>
      </w:r>
      <w:r>
        <w:t xml:space="preserve"> </w:t>
      </w:r>
      <w:r>
        <w:rPr>
          <w:b/>
          <w:bCs/>
        </w:rPr>
        <w:t xml:space="preserve">LHA-8 Bougainville</w:t>
      </w:r>
      <w:r>
        <w:t xml:space="preserve"> </w:t>
      </w:r>
      <w:r>
        <w:t xml:space="preserve">testing and delivery.</w:t>
      </w:r>
    </w:p>
    <w:p>
      <w:pPr>
        <w:pStyle w:val="BodyText"/>
      </w:pPr>
      <w:r>
        <w:t xml:space="preserve">Investors should monitor:</w:t>
      </w:r>
    </w:p>
    <w:p>
      <w:pPr>
        <w:pStyle w:val="Compact"/>
        <w:numPr>
          <w:ilvl w:val="0"/>
          <w:numId w:val="1004"/>
        </w:numPr>
      </w:pPr>
      <w:r>
        <w:t xml:space="preserve">Test progress and schedule confidence for LHA-8;</w:t>
      </w:r>
    </w:p>
    <w:p>
      <w:pPr>
        <w:pStyle w:val="Compact"/>
        <w:numPr>
          <w:ilvl w:val="0"/>
          <w:numId w:val="1004"/>
        </w:numPr>
      </w:pPr>
      <w:r>
        <w:t xml:space="preserve">Whether LPD 30 Harrisburg remains on track for delivery in 2026;</w:t>
      </w:r>
    </w:p>
    <w:p>
      <w:pPr>
        <w:pStyle w:val="Compact"/>
        <w:numPr>
          <w:ilvl w:val="0"/>
          <w:numId w:val="1004"/>
        </w:numPr>
      </w:pPr>
      <w:r>
        <w:t xml:space="preserve">Destroyer program cadence, including DDG-129 Jeremiah Denton;</w:t>
      </w:r>
    </w:p>
    <w:p>
      <w:pPr>
        <w:pStyle w:val="Compact"/>
        <w:numPr>
          <w:ilvl w:val="0"/>
          <w:numId w:val="1004"/>
        </w:numPr>
      </w:pPr>
      <w:r>
        <w:t xml:space="preserve">The effect of recently ratified collective-bargaining agreements and wage actions on hiring and retention.</w:t>
      </w:r>
    </w:p>
    <w:p>
      <w:pPr>
        <w:pStyle w:val="FirstParagraph"/>
      </w:pPr>
      <w:r>
        <w:t xml:space="preserve">Management has said LHA-8 is an older, more challenging program and remains confident that subsequent post-COVID ships—including LHA-9 and LHA-10—can carry better economics. That makes 2Q commentary on the risk profile of LHA-8 and the margin trajectory of later amphibious programs especially important.</w:t>
      </w:r>
    </w:p>
    <w:p>
      <w:r>
        <w:pict>
          <v:rect style="width:0;height:1.5pt" o:hralign="center" o:hrstd="t" o:hr="t"/>
        </w:pict>
      </w:r>
    </w:p>
    <w:bookmarkEnd w:id="13"/>
    <w:bookmarkEnd w:id="14"/>
    <w:bookmarkStart w:id="15" w:name="Xb559378b4d363bcc3a725ace6b492ed77005fb2"/>
    <w:p>
      <w:pPr>
        <w:pStyle w:val="Heading2"/>
      </w:pPr>
      <w:r>
        <w:t xml:space="preserve">Cash flow is the highest-stakes financial issue</w:t>
      </w:r>
    </w:p>
    <w:p>
      <w:pPr>
        <w:pStyle w:val="FirstParagraph"/>
      </w:pPr>
      <w:r>
        <w:t xml:space="preserve">HII reaffirmed FY26 free-cash-flow guidance of</w:t>
      </w:r>
      <w:r>
        <w:t xml:space="preserve"> </w:t>
      </w:r>
      <w:r>
        <w:rPr>
          <w:b/>
          <w:bCs/>
        </w:rPr>
        <w:t xml:space="preserve">$500 million to $600 million</w:t>
      </w:r>
      <w:r>
        <w:t xml:space="preserve">, but it began the year with</w:t>
      </w:r>
      <w:r>
        <w:t xml:space="preserve"> </w:t>
      </w:r>
      <w:r>
        <w:rPr>
          <w:b/>
          <w:bCs/>
        </w:rPr>
        <w:t xml:space="preserve">negative $461 million</w:t>
      </w:r>
      <w:r>
        <w:t xml:space="preserve"> </w:t>
      </w:r>
      <w:r>
        <w:t xml:space="preserve">of free cash flow in 1Q. Its 2Q guide of negative $100 million to positive $100 million implies that free cash flow could still be materially negative through the first half.</w:t>
      </w:r>
    </w:p>
    <w:p>
      <w:pPr>
        <w:pStyle w:val="BodyText"/>
      </w:pPr>
      <w:r>
        <w:t xml:space="preserve">To achieve the full-year target, HII would need roughly</w:t>
      </w:r>
      <w:r>
        <w:t xml:space="preserve"> </w:t>
      </w:r>
      <w:r>
        <w:rPr>
          <w:b/>
          <w:bCs/>
        </w:rPr>
        <w:t xml:space="preserve">$0.9 billion to $1.2 billion of free cash flow in the second half</w:t>
      </w:r>
      <w:r>
        <w:t xml:space="preserve">, depending on the exact 2Q outcome. Management characterized the midpoint requirement as approximately $1 billion and pointed to:</w:t>
      </w:r>
    </w:p>
    <w:p>
      <w:pPr>
        <w:pStyle w:val="Compact"/>
        <w:numPr>
          <w:ilvl w:val="0"/>
          <w:numId w:val="1005"/>
        </w:numPr>
      </w:pPr>
      <w:r>
        <w:t xml:space="preserve">Major milestones and deliveries;</w:t>
      </w:r>
    </w:p>
    <w:p>
      <w:pPr>
        <w:pStyle w:val="Compact"/>
        <w:numPr>
          <w:ilvl w:val="0"/>
          <w:numId w:val="1005"/>
        </w:numPr>
      </w:pPr>
      <w:r>
        <w:t xml:space="preserve">Improved collections;</w:t>
      </w:r>
    </w:p>
    <w:p>
      <w:pPr>
        <w:pStyle w:val="Compact"/>
        <w:numPr>
          <w:ilvl w:val="0"/>
          <w:numId w:val="1005"/>
        </w:numPr>
      </w:pPr>
      <w:r>
        <w:t xml:space="preserve">Research-and-development tax credits;</w:t>
      </w:r>
    </w:p>
    <w:p>
      <w:pPr>
        <w:pStyle w:val="Compact"/>
        <w:numPr>
          <w:ilvl w:val="0"/>
          <w:numId w:val="1005"/>
        </w:numPr>
      </w:pPr>
      <w:r>
        <w:t xml:space="preserve">Potential cash effects from submarine contract awards.</w:t>
      </w:r>
    </w:p>
    <w:p>
      <w:pPr>
        <w:pStyle w:val="FirstParagraph"/>
      </w:pPr>
      <w:r>
        <w:t xml:space="preserve">That creates an unusually important setup for the call: the company does not necessarily need to generate strong 2Q cash flow, given its historic seasonality, but it needs to make the second-half bridge credible.</w:t>
      </w:r>
    </w:p>
    <w:p>
      <w:pPr>
        <w:pStyle w:val="BodyText"/>
      </w:pPr>
      <w:r>
        <w:rPr>
          <w:b/>
          <w:bCs/>
        </w:rPr>
        <w:t xml:space="preserve">Questions investors should ask:</w:t>
      </w:r>
    </w:p>
    <w:p>
      <w:pPr>
        <w:pStyle w:val="Compact"/>
        <w:numPr>
          <w:ilvl w:val="0"/>
          <w:numId w:val="1006"/>
        </w:numPr>
      </w:pPr>
      <w:r>
        <w:t xml:space="preserve">Has the timing of the Virginia/Columbia award changed, and what are the associated billing and cash-collection effects?</w:t>
      </w:r>
    </w:p>
    <w:p>
      <w:pPr>
        <w:pStyle w:val="Compact"/>
        <w:numPr>
          <w:ilvl w:val="0"/>
          <w:numId w:val="1006"/>
        </w:numPr>
      </w:pPr>
      <w:r>
        <w:t xml:space="preserve">Are contract assets and unbilled receivables beginning to normalize?</w:t>
      </w:r>
    </w:p>
    <w:p>
      <w:pPr>
        <w:pStyle w:val="Compact"/>
        <w:numPr>
          <w:ilvl w:val="0"/>
          <w:numId w:val="1006"/>
        </w:numPr>
      </w:pPr>
      <w:r>
        <w:t xml:space="preserve">Is the expected R&amp;D tax-credit benefit still on schedule?</w:t>
      </w:r>
    </w:p>
    <w:p>
      <w:pPr>
        <w:pStyle w:val="Compact"/>
        <w:numPr>
          <w:ilvl w:val="0"/>
          <w:numId w:val="1006"/>
        </w:numPr>
      </w:pPr>
      <w:r>
        <w:t xml:space="preserve">Is the FY26 cash-flow range still achievable without relying on unusually favorable late-year working-capital timing?</w:t>
      </w:r>
    </w:p>
    <w:p>
      <w:pPr>
        <w:pStyle w:val="FirstParagraph"/>
      </w:pPr>
      <w:r>
        <w:t xml:space="preserve">A guidance reaffirmation accompanied by more detailed milestone, collection, and tax-credit timing would be constructive. A reaffirmation without additional support may not be enough, given the size of the implied second-half ramp.</w:t>
      </w:r>
    </w:p>
    <w:p>
      <w:r>
        <w:pict>
          <v:rect style="width:0;height:1.5pt" o:hralign="center" o:hrstd="t" o:hr="t"/>
        </w:pict>
      </w:r>
    </w:p>
    <w:bookmarkEnd w:id="15"/>
    <w:bookmarkStart w:id="16" w:name="Xeca33e1b5ced00597d921534cfafde84cc7fe5f"/>
    <w:p>
      <w:pPr>
        <w:pStyle w:val="Heading2"/>
      </w:pPr>
      <w:r>
        <w:t xml:space="preserve">Mission Technologies: investment year, but the growth algorithm needs validation</w:t>
      </w:r>
    </w:p>
    <w:p>
      <w:pPr>
        <w:pStyle w:val="FirstParagraph"/>
      </w:pPr>
      <w:r>
        <w:t xml:space="preserve">Mission Technologies grew only</w:t>
      </w:r>
      <w:r>
        <w:t xml:space="preserve"> </w:t>
      </w:r>
      <w:r>
        <w:rPr>
          <w:b/>
          <w:bCs/>
        </w:rPr>
        <w:t xml:space="preserve">2%</w:t>
      </w:r>
      <w:r>
        <w:t xml:space="preserve"> </w:t>
      </w:r>
      <w:r>
        <w:t xml:space="preserve">in 1Q26 and saw margin decline to</w:t>
      </w:r>
      <w:r>
        <w:t xml:space="preserve"> </w:t>
      </w:r>
      <w:r>
        <w:rPr>
          <w:b/>
          <w:bCs/>
        </w:rPr>
        <w:t xml:space="preserve">4.7%</w:t>
      </w:r>
      <w:r>
        <w:t xml:space="preserve"> </w:t>
      </w:r>
      <w:r>
        <w:t xml:space="preserve">from 5.4%. For 2Q, HII guided to approximately</w:t>
      </w:r>
      <w:r>
        <w:t xml:space="preserve"> </w:t>
      </w:r>
      <w:r>
        <w:rPr>
          <w:b/>
          <w:bCs/>
        </w:rPr>
        <w:t xml:space="preserve">$750 million of revenue</w:t>
      </w:r>
      <w:r>
        <w:t xml:space="preserve"> </w:t>
      </w:r>
      <w:r>
        <w:t xml:space="preserve">and a</w:t>
      </w:r>
      <w:r>
        <w:t xml:space="preserve"> </w:t>
      </w:r>
      <w:r>
        <w:rPr>
          <w:b/>
          <w:bCs/>
        </w:rPr>
        <w:t xml:space="preserve">4% operating margin</w:t>
      </w:r>
      <w:r>
        <w:t xml:space="preserve">, explicitly incorporating investment in unmanned-system capabilities and production capacity.</w:t>
      </w:r>
    </w:p>
    <w:p>
      <w:pPr>
        <w:pStyle w:val="BodyText"/>
      </w:pPr>
      <w:r>
        <w:t xml:space="preserve">The near-term margin pressure is intentional, but investors will want evidence that these investments can become a meaningful growth driver. Areas to watch include:</w:t>
      </w:r>
    </w:p>
    <w:p>
      <w:pPr>
        <w:pStyle w:val="Compact"/>
        <w:numPr>
          <w:ilvl w:val="0"/>
          <w:numId w:val="1007"/>
        </w:numPr>
      </w:pPr>
      <w:r>
        <w:t xml:space="preserve">Awards and pipeline conversion in autonomous and unmanned systems;</w:t>
      </w:r>
    </w:p>
    <w:p>
      <w:pPr>
        <w:pStyle w:val="Compact"/>
        <w:numPr>
          <w:ilvl w:val="0"/>
          <w:numId w:val="1007"/>
        </w:numPr>
      </w:pPr>
      <w:r>
        <w:t xml:space="preserve">Progress on the MUSV opportunity and international programs;</w:t>
      </w:r>
    </w:p>
    <w:p>
      <w:pPr>
        <w:pStyle w:val="Compact"/>
        <w:numPr>
          <w:ilvl w:val="0"/>
          <w:numId w:val="1007"/>
        </w:numPr>
      </w:pPr>
      <w:r>
        <w:t xml:space="preserve">Revenue traction in Lionfish, REMUS, ROMULUS, Odyssey autonomy software, cyber, and C5ISR;</w:t>
      </w:r>
    </w:p>
    <w:p>
      <w:pPr>
        <w:pStyle w:val="Compact"/>
        <w:numPr>
          <w:ilvl w:val="0"/>
          <w:numId w:val="1007"/>
        </w:numPr>
      </w:pPr>
      <w:r>
        <w:t xml:space="preserve">The timing of higher-margin opportunities relative to today’s investment spend.</w:t>
      </w:r>
    </w:p>
    <w:p>
      <w:pPr>
        <w:pStyle w:val="FirstParagraph"/>
      </w:pPr>
      <w:r>
        <w:t xml:space="preserve">HII has a differentiated strategic position in naval autonomy because it combines large-ship construction, undersea systems, software, and manned-unmanned integration. The question is not the long-term relevance of the portfolio; it is the timing and scale of revenue conversion.</w:t>
      </w:r>
    </w:p>
    <w:p>
      <w:r>
        <w:pict>
          <v:rect style="width:0;height:1.5pt" o:hralign="center" o:hrstd="t" o:hr="t"/>
        </w:pict>
      </w:r>
    </w:p>
    <w:bookmarkEnd w:id="16"/>
    <w:bookmarkStart w:id="17" w:name="X2ac414f45a4a7f3e37b9eed48dcbeec2bae721e"/>
    <w:p>
      <w:pPr>
        <w:pStyle w:val="Heading2"/>
      </w:pPr>
      <w:r>
        <w:t xml:space="preserve">Backlog and funding backdrop remain supportive</w:t>
      </w:r>
    </w:p>
    <w:p>
      <w:pPr>
        <w:pStyle w:val="FirstParagraph"/>
      </w:pPr>
      <w:r>
        <w:t xml:space="preserve">HII ended 1Q with</w:t>
      </w:r>
      <w:r>
        <w:t xml:space="preserve"> </w:t>
      </w:r>
      <m:oMath>
        <m:r>
          <m:t>54.0</m:t>
        </m:r>
        <m:r>
          <m:t>b</m:t>
        </m:r>
        <m:r>
          <m:t>i</m:t>
        </m:r>
        <m:r>
          <m:t>l</m:t>
        </m:r>
        <m:r>
          <m:t>l</m:t>
        </m:r>
        <m:r>
          <m:t>i</m:t>
        </m:r>
        <m:r>
          <m:t>o</m:t>
        </m:r>
        <m:r>
          <m:t>n</m:t>
        </m:r>
        <m:r>
          <m:t>o</m:t>
        </m:r>
        <m:r>
          <m:t>f</m:t>
        </m:r>
        <m:r>
          <m:t>b</m:t>
        </m:r>
        <m:r>
          <m:t>a</m:t>
        </m:r>
        <m:r>
          <m:t>c</m:t>
        </m:r>
        <m:r>
          <m:t>k</m:t>
        </m:r>
        <m:r>
          <m:t>l</m:t>
        </m:r>
        <m:r>
          <m:t>o</m:t>
        </m:r>
        <m:r>
          <m:t>g</m:t>
        </m:r>
        <m:r>
          <m:rPr>
            <m:sty m:val="p"/>
          </m:rPr>
          <m:t>*</m:t>
        </m:r>
        <m:r>
          <m:rPr>
            <m:sty m:val="p"/>
          </m:rPr>
          <m:t>*</m:t>
        </m:r>
        <m:r>
          <m:rPr>
            <m:sty m:val="p"/>
          </m:rPr>
          <m:t>,</m:t>
        </m:r>
        <m:r>
          <m:t>i</m:t>
        </m:r>
        <m:r>
          <m:t>n</m:t>
        </m:r>
        <m:r>
          <m:t>c</m:t>
        </m:r>
        <m:r>
          <m:t>l</m:t>
        </m:r>
        <m:r>
          <m:t>u</m:t>
        </m:r>
        <m:r>
          <m:t>d</m:t>
        </m:r>
        <m:r>
          <m:t>i</m:t>
        </m:r>
        <m:r>
          <m:t>n</m:t>
        </m:r>
        <m:r>
          <m:t>g</m:t>
        </m:r>
        <m:r>
          <m:rPr>
            <m:sty m:val="p"/>
          </m:rPr>
          <m:t>*</m:t>
        </m:r>
        <m:r>
          <m:rPr>
            <m:sty m:val="p"/>
          </m:rPr>
          <m:t>*</m:t>
        </m:r>
      </m:oMath>
      <w:r>
        <w:rPr>
          <w:b/>
          <w:bCs/>
        </w:rPr>
        <w:t xml:space="preserve">30.5 billion at Newport News</w:t>
      </w:r>
      <w:r>
        <w:t xml:space="preserve">,</w:t>
      </w:r>
      <w:r>
        <w:t xml:space="preserve"> </w:t>
      </w:r>
      <m:oMath>
        <m:r>
          <m:t>18.3</m:t>
        </m:r>
        <m:r>
          <m:t>b</m:t>
        </m:r>
        <m:r>
          <m:t>i</m:t>
        </m:r>
        <m:r>
          <m:t>l</m:t>
        </m:r>
        <m:r>
          <m:t>l</m:t>
        </m:r>
        <m:r>
          <m:t>i</m:t>
        </m:r>
        <m:r>
          <m:t>o</m:t>
        </m:r>
        <m:r>
          <m:t>n</m:t>
        </m:r>
        <m:r>
          <m:t>a</m:t>
        </m:r>
        <m:r>
          <m:t>t</m:t>
        </m:r>
        <m:r>
          <m:t>I</m:t>
        </m:r>
        <m:r>
          <m:t>n</m:t>
        </m:r>
        <m:r>
          <m:t>g</m:t>
        </m:r>
        <m:r>
          <m:t>a</m:t>
        </m:r>
        <m:r>
          <m:t>l</m:t>
        </m:r>
        <m:r>
          <m:t>l</m:t>
        </m:r>
        <m:r>
          <m:t>s</m:t>
        </m:r>
        <m:r>
          <m:rPr>
            <m:sty m:val="p"/>
          </m:rPr>
          <m:t>*</m:t>
        </m:r>
        <m:r>
          <m:rPr>
            <m:sty m:val="p"/>
          </m:rPr>
          <m:t>*</m:t>
        </m:r>
        <m:r>
          <m:rPr>
            <m:sty m:val="p"/>
          </m:rPr>
          <m:t>,</m:t>
        </m:r>
        <m:r>
          <m:t>a</m:t>
        </m:r>
        <m:r>
          <m:t>n</m:t>
        </m:r>
        <m:r>
          <m:t>d</m:t>
        </m:r>
        <m:r>
          <m:rPr>
            <m:sty m:val="p"/>
          </m:rPr>
          <m:t>*</m:t>
        </m:r>
        <m:r>
          <m:rPr>
            <m:sty m:val="p"/>
          </m:rPr>
          <m:t>*</m:t>
        </m:r>
      </m:oMath>
      <w:r>
        <w:rPr>
          <w:b/>
          <w:bCs/>
        </w:rPr>
        <w:t xml:space="preserve">5.3 billion at Mission Technologies</w:t>
      </w:r>
      <w:r>
        <w:t xml:space="preserve">. Approximately 21% of year-end 2025 backlog was expected to convert into 2026 revenue.</w:t>
      </w:r>
    </w:p>
    <w:p>
      <w:pPr>
        <w:pStyle w:val="BodyText"/>
      </w:pPr>
      <w:r>
        <w:t xml:space="preserve">The demand environment remains favorable. FY26 appropriations funded key carrier, submarine, destroyer, amphibious, and maritime-industrial-base priorities, while the FY27 budget proposal included funding for Columbia and Virginia submarines, a DDG-51 destroyer, an LPD, an LHA, a frigate, carrier programs, and increased unmanned-system investment.</w:t>
      </w:r>
    </w:p>
    <w:p>
      <w:pPr>
        <w:pStyle w:val="BodyText"/>
      </w:pPr>
      <w:r>
        <w:t xml:space="preserve">The investment debate is therefore not demand availability. It is HII’s ability to execute its backlog with improving labor productivity, supplier capacity, schedule discipline, and contract margins.</w:t>
      </w:r>
    </w:p>
    <w:p>
      <w:r>
        <w:pict>
          <v:rect style="width:0;height:1.5pt" o:hralign="center" o:hrstd="t" o:hr="t"/>
        </w:pict>
      </w:r>
    </w:p>
    <w:bookmarkEnd w:id="17"/>
    <w:bookmarkStart w:id="18" w:name="catalysts"/>
    <w:p>
      <w:pPr>
        <w:pStyle w:val="Heading2"/>
      </w:pPr>
      <w:r>
        <w:t xml:space="preserve">Catalysts</w:t>
      </w:r>
    </w:p>
    <w:p>
      <w:pPr>
        <w:pStyle w:val="Compact"/>
        <w:numPr>
          <w:ilvl w:val="0"/>
          <w:numId w:val="1008"/>
        </w:numPr>
      </w:pPr>
      <w:r>
        <w:t xml:space="preserve">Virginia Block VI and Columbia Build II contract-award confirmation;</w:t>
      </w:r>
    </w:p>
    <w:p>
      <w:pPr>
        <w:pStyle w:val="Compact"/>
        <w:numPr>
          <w:ilvl w:val="0"/>
          <w:numId w:val="1008"/>
        </w:numPr>
      </w:pPr>
      <w:r>
        <w:t xml:space="preserve">A clean quarter for aircraft-carrier and amphibious-ship contract adjustments;</w:t>
      </w:r>
    </w:p>
    <w:p>
      <w:pPr>
        <w:pStyle w:val="Compact"/>
        <w:numPr>
          <w:ilvl w:val="0"/>
          <w:numId w:val="1008"/>
        </w:numPr>
      </w:pPr>
      <w:r>
        <w:t xml:space="preserve">Better-than-guided shipbuilding margin or stronger evidence of a 2027 margin inflection;</w:t>
      </w:r>
    </w:p>
    <w:p>
      <w:pPr>
        <w:pStyle w:val="Compact"/>
        <w:numPr>
          <w:ilvl w:val="0"/>
          <w:numId w:val="1008"/>
        </w:numPr>
      </w:pPr>
      <w:r>
        <w:t xml:space="preserve">Clearer support for the FY26 free-cash-flow target;</w:t>
      </w:r>
    </w:p>
    <w:p>
      <w:pPr>
        <w:pStyle w:val="Compact"/>
        <w:numPr>
          <w:ilvl w:val="0"/>
          <w:numId w:val="1008"/>
        </w:numPr>
      </w:pPr>
      <w:r>
        <w:t xml:space="preserve">Major program milestone updates, particularly CVN 79, SSN 800, LPD 30, and LHA-8;</w:t>
      </w:r>
    </w:p>
    <w:p>
      <w:pPr>
        <w:pStyle w:val="Compact"/>
        <w:numPr>
          <w:ilvl w:val="0"/>
          <w:numId w:val="1008"/>
        </w:numPr>
      </w:pPr>
      <w:r>
        <w:t xml:space="preserve">Incremental unmanned/autonomy awards or stronger Mission Technologies pipeline visibility.</w:t>
      </w:r>
    </w:p>
    <w:bookmarkEnd w:id="18"/>
    <w:bookmarkStart w:id="19" w:name="risks"/>
    <w:p>
      <w:pPr>
        <w:pStyle w:val="Heading2"/>
      </w:pPr>
      <w:r>
        <w:t xml:space="preserve">Risks</w:t>
      </w:r>
    </w:p>
    <w:p>
      <w:pPr>
        <w:pStyle w:val="Compact"/>
        <w:numPr>
          <w:ilvl w:val="0"/>
          <w:numId w:val="1009"/>
        </w:numPr>
      </w:pPr>
      <w:r>
        <w:t xml:space="preserve">Further unfavorable cumulative catch-up adjustments, particularly at Newport News;</w:t>
      </w:r>
    </w:p>
    <w:p>
      <w:pPr>
        <w:pStyle w:val="Compact"/>
        <w:numPr>
          <w:ilvl w:val="0"/>
          <w:numId w:val="1009"/>
        </w:numPr>
      </w:pPr>
      <w:r>
        <w:t xml:space="preserve">Carrier, submarine, or LHA-8 schedule/cost deterioration;</w:t>
      </w:r>
    </w:p>
    <w:p>
      <w:pPr>
        <w:pStyle w:val="Compact"/>
        <w:numPr>
          <w:ilvl w:val="0"/>
          <w:numId w:val="1009"/>
        </w:numPr>
      </w:pPr>
      <w:r>
        <w:t xml:space="preserve">Delayed submarine contract awards or weaker-than-expected contract economics;</w:t>
      </w:r>
    </w:p>
    <w:p>
      <w:pPr>
        <w:pStyle w:val="Compact"/>
        <w:numPr>
          <w:ilvl w:val="0"/>
          <w:numId w:val="1009"/>
        </w:numPr>
      </w:pPr>
      <w:r>
        <w:t xml:space="preserve">Labor retention, training, supplier, or material-availability constraints;</w:t>
      </w:r>
    </w:p>
    <w:p>
      <w:pPr>
        <w:pStyle w:val="Compact"/>
        <w:numPr>
          <w:ilvl w:val="0"/>
          <w:numId w:val="1009"/>
        </w:numPr>
      </w:pPr>
      <w:r>
        <w:t xml:space="preserve">Free-cash-flow guidance pressure if collections, tax credits, or milestones move right;</w:t>
      </w:r>
    </w:p>
    <w:p>
      <w:pPr>
        <w:pStyle w:val="Compact"/>
        <w:numPr>
          <w:ilvl w:val="0"/>
          <w:numId w:val="1009"/>
        </w:numPr>
      </w:pPr>
      <w:r>
        <w:t xml:space="preserve">Continued Mission Technologies margin dilution without sufficiently visible growth conversion.</w:t>
      </w:r>
    </w:p>
    <w:p>
      <w:r>
        <w:pict>
          <v:rect style="width:0;height:1.5pt" o:hralign="center" o:hrstd="t" o:hr="t"/>
        </w:pict>
      </w:r>
    </w:p>
    <w:bookmarkEnd w:id="19"/>
    <w:bookmarkStart w:id="21" w:name="bottom-line"/>
    <w:p>
      <w:pPr>
        <w:pStyle w:val="Heading2"/>
      </w:pPr>
      <w:r>
        <w:t xml:space="preserve">Bottom line</w:t>
      </w:r>
    </w:p>
    <w:p>
      <w:pPr>
        <w:pStyle w:val="FirstParagraph"/>
      </w:pPr>
      <w:r>
        <w:t xml:space="preserve">HII’s 2Q26 report is best viewed as an</w:t>
      </w:r>
      <w:r>
        <w:t xml:space="preserve"> </w:t>
      </w:r>
      <w:r>
        <w:rPr>
          <w:b/>
          <w:bCs/>
        </w:rPr>
        <w:t xml:space="preserve">execution-and-cash-flow checkpoint</w:t>
      </w:r>
      <w:r>
        <w:t xml:space="preserve">, not simply a demand story. The company has visible backlog, supportive U.S. naval funding, improving shipyard volume, and strategic upside in autonomous systems. But the stock’s recent weakness reflects investor skepticism that those strengths will convert quickly into higher profitability and cash generation.</w:t>
      </w:r>
    </w:p>
    <w:p>
      <w:pPr>
        <w:pStyle w:val="BodyText"/>
      </w:pPr>
      <w:r>
        <w:t xml:space="preserve">A favorable result would pair solid shipbuilding revenue growth with stable-to-improving margins, confirmation of submarine awards, no new major program charges, and a credible explanation for the second-half cash ramp. The downside case is a familiar one: healthy sales growth obscured by another execution issue, delayed cash conversion, or a further reset in confidence around carrier and amphibious programs.</w:t>
      </w:r>
    </w:p>
    <w:p>
      <w:r>
        <w:pict>
          <v:rect style="width:0;height:1.5pt" o:hralign="center" o:hrstd="t" o:hr="t"/>
        </w:pict>
      </w:r>
    </w:p>
    <w:bookmarkStart w:id="20" w:name="sources"/>
    <w:p>
      <w:pPr>
        <w:pStyle w:val="Heading3"/>
      </w:pPr>
      <w:r>
        <w:t xml:space="preserve">Sources</w:t>
      </w:r>
    </w:p>
    <w:p>
      <w:pPr>
        <w:pStyle w:val="Compact"/>
        <w:numPr>
          <w:ilvl w:val="0"/>
          <w:numId w:val="1010"/>
        </w:numPr>
      </w:pPr>
      <w:r>
        <w:t xml:space="preserve">HII,</w:t>
      </w:r>
      <w:r>
        <w:t xml:space="preserve"> </w:t>
      </w:r>
      <w:r>
        <w:rPr>
          <w:b/>
          <w:bCs/>
        </w:rPr>
        <w:t xml:space="preserve">1Q26 Earnings Release</w:t>
      </w:r>
      <w:r>
        <w:t xml:space="preserve">, May 5, 2026.</w:t>
      </w:r>
    </w:p>
    <w:p>
      <w:pPr>
        <w:pStyle w:val="Compact"/>
        <w:numPr>
          <w:ilvl w:val="0"/>
          <w:numId w:val="1010"/>
        </w:numPr>
      </w:pPr>
      <w:r>
        <w:t xml:space="preserve">HII,</w:t>
      </w:r>
      <w:r>
        <w:t xml:space="preserve"> </w:t>
      </w:r>
      <w:r>
        <w:rPr>
          <w:b/>
          <w:bCs/>
        </w:rPr>
        <w:t xml:space="preserve">1Q26 Earnings Call Transcript</w:t>
      </w:r>
      <w:r>
        <w:t xml:space="preserve">, May 5, 2026.</w:t>
      </w:r>
    </w:p>
    <w:p>
      <w:pPr>
        <w:pStyle w:val="Compact"/>
        <w:numPr>
          <w:ilvl w:val="0"/>
          <w:numId w:val="1010"/>
        </w:numPr>
      </w:pPr>
      <w:r>
        <w:t xml:space="preserve">HII,</w:t>
      </w:r>
      <w:r>
        <w:t xml:space="preserve"> </w:t>
      </w:r>
      <w:r>
        <w:rPr>
          <w:b/>
          <w:bCs/>
        </w:rPr>
        <w:t xml:space="preserve">1Q26 Form 10-Q</w:t>
      </w:r>
      <w:r>
        <w:t xml:space="preserve">, filed May 5, 2026.</w:t>
      </w:r>
    </w:p>
    <w:p>
      <w:pPr>
        <w:pStyle w:val="Compact"/>
        <w:numPr>
          <w:ilvl w:val="0"/>
          <w:numId w:val="1010"/>
        </w:numPr>
      </w:pPr>
      <w:r>
        <w:t xml:space="preserve">HII,</w:t>
      </w:r>
      <w:r>
        <w:t xml:space="preserve"> </w:t>
      </w:r>
      <w:r>
        <w:rPr>
          <w:b/>
          <w:bCs/>
        </w:rPr>
        <w:t xml:space="preserve">2Q25 Earnings Release</w:t>
      </w:r>
      <w:r>
        <w:t xml:space="preserve">, July 31, 2025.</w:t>
      </w:r>
    </w:p>
    <w:p>
      <w:pPr>
        <w:pStyle w:val="Compact"/>
        <w:numPr>
          <w:ilvl w:val="0"/>
          <w:numId w:val="1010"/>
        </w:numPr>
      </w:pPr>
      <w:r>
        <w:t xml:space="preserve">HII historical share-price data through July 29, 2026.</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2026-07-29T18:37:51Z</dcterms:created>
  <dcterms:modified xsi:type="dcterms:W3CDTF">2026-07-29T18:37:51Z</dcterms:modified>
</cp:coreProperties>
</file>

<file path=docProps/custom.xml><?xml version="1.0" encoding="utf-8"?>
<Properties xmlns="http://schemas.openxmlformats.org/officeDocument/2006/custom-properties" xmlns:vt="http://schemas.openxmlformats.org/officeDocument/2006/docPropsVTypes"/>
</file>