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HII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Huntington Ingalls Industries (HII)</w:t>
            </w:r>
          </w:p>
        </w:tc>
      </w:tr>
      <w:tr>
        <w:tc>
          <w:tcPr>
            <w:tcW w:type="dxa" w:w="4320"/>
          </w:tcPr>
          <w:p>
            <w:r>
              <w:rPr>
                <w:rFonts w:ascii="Calibri" w:hAnsi="Calibri"/>
                <w:b/>
                <w:sz w:val="22"/>
              </w:rPr>
              <w:t>Upcoming Earnings</w:t>
            </w:r>
          </w:p>
        </w:tc>
        <w:tc>
          <w:tcPr>
            <w:tcW w:type="dxa" w:w="4320"/>
          </w:tcPr>
          <w:p>
            <w:r>
              <w:rPr>
                <w:rFonts w:ascii="Calibri" w:hAnsi="Calibri"/>
                <w:sz w:val="22"/>
              </w:rPr>
              <w:t>July 30, 2026</w:t>
            </w:r>
          </w:p>
        </w:tc>
      </w:tr>
      <w:tr>
        <w:tc>
          <w:tcPr>
            <w:tcW w:type="dxa" w:w="4320"/>
          </w:tcPr>
          <w:p>
            <w:r>
              <w:rPr>
                <w:rFonts w:ascii="Calibri" w:hAnsi="Calibri"/>
                <w:b/>
                <w:sz w:val="22"/>
              </w:rPr>
              <w:t>Last Earnings</w:t>
            </w:r>
          </w:p>
        </w:tc>
        <w:tc>
          <w:tcPr>
            <w:tcW w:type="dxa" w:w="4320"/>
          </w:tcPr>
          <w:p>
            <w:r>
              <w:rPr>
                <w:rFonts w:ascii="Calibri" w:hAnsi="Calibri"/>
                <w:sz w:val="22"/>
              </w:rPr>
              <w:t>May 5, 2026 (Q1 2026)</w:t>
            </w:r>
          </w:p>
        </w:tc>
      </w:tr>
      <w:tr>
        <w:tc>
          <w:tcPr>
            <w:tcW w:type="dxa" w:w="4320"/>
          </w:tcPr>
          <w:p>
            <w:r>
              <w:rPr>
                <w:rFonts w:ascii="Calibri" w:hAnsi="Calibri"/>
                <w:b/>
                <w:sz w:val="22"/>
              </w:rPr>
              <w:t>Reporting Period</w:t>
            </w:r>
          </w:p>
        </w:tc>
        <w:tc>
          <w:tcPr>
            <w:tcW w:type="dxa" w:w="4320"/>
          </w:tcPr>
          <w:p>
            <w:r>
              <w:rPr>
                <w:rFonts w:ascii="Calibri" w:hAnsi="Calibri"/>
                <w:sz w:val="22"/>
              </w:rPr>
              <w:t>Q2 2026</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is a manageable bar and the just-announced $76.6B Block VI / Columbia Build II contract award removes the single biggest overhang, but the stock has already rallied sharply into the print and margin execution remains the swing factor.</w:t>
      </w:r>
    </w:p>
    <w:p>
      <w:r>
        <w:rPr>
          <w:rFonts w:ascii="Calibri" w:hAnsi="Calibri"/>
          <w:color w:val="525866"/>
          <w:sz w:val="22"/>
        </w:rPr>
        <w:t xml:space="preserve">Heading into Q2 2026, HII faces a consensus revenue bar of ~$3.16B and operating EPS of ~$3.32, both achievable given management's explicit Q2 shipbuilding revenue guide of ~$2.4B and the sequential ramp narrative. The most significant pre-print development is the July 29 announcement of the $76.6B Block VI Virginia-class and Build II Columbia-class submarine contract awards — a catalyst management had flagged as critical for both cash flow and production sequencing, and one that had been slipping for over a year. </w:t>
      </w:r>
      <w:r>
        <w:rPr>
          <w:rFonts w:ascii="Calibri" w:hAnsi="Calibri"/>
          <w:b/>
          <w:color w:val="525866"/>
          <w:sz w:val="22"/>
        </w:rPr>
        <w:t>This award eliminates the single largest uncertainty in HII's 2026 guidance</w:t>
      </w:r>
      <w:r>
        <w:rPr>
          <w:rFonts w:ascii="Calibri" w:hAnsi="Calibri"/>
          <w:color w:val="525866"/>
          <w:sz w:val="22"/>
        </w:rPr>
        <w:t xml:space="preserve"> and should unlock meaningful working capital inflows in H2. Management's tone at the May Bernstein conference was measured but confident, reaffirming all guidance elements and describing Block VI progress as 'very, very close'; the contract now in hand validates that posture. Estimate revisions have been modestly negative since the Q1 print — the stock fell ~14% from the May 5 earnings date through late July, significantly underperforming ITA (+9.7%) and SPY (+0.8%) — suggesting the market had already priced in execution risk and contract delay. The wildcard for the print is </w:t>
      </w:r>
      <w:r>
        <w:rPr>
          <w:rFonts w:ascii="Calibri" w:hAnsi="Calibri"/>
          <w:b/>
          <w:color w:val="525866"/>
          <w:sz w:val="22"/>
        </w:rPr>
        <w:t>shipbuilding operating margin</w:t>
      </w:r>
      <w:r>
        <w:rPr>
          <w:rFonts w:ascii="Calibri" w:hAnsi="Calibri"/>
          <w:color w:val="525866"/>
          <w:sz w:val="22"/>
        </w:rPr>
        <w:t>: consensus sits at 5.9% vs. management's Q2 guide of 5.7%–6.0%, and any further contract adjustments (particularly on LHA 8 or CVN-class carriers) could disappoint even on a revenue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revenue but shipbuilding margin is the bigger swing factor — management guided 5.7%–6.0% vs. consensus at 5.9%, leaving little room for further contract adjustments. Free cash flow is the most watched metric given the H2 ramp requirement.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$3.099B</w:t>
            </w:r>
          </w:p>
        </w:tc>
        <w:tc>
          <w:tcPr>
            <w:tcW w:type="dxa" w:w="1234"/>
          </w:tcPr>
          <w:p>
            <w:r>
              <w:rPr>
                <w:rFonts w:ascii="Calibri" w:hAnsi="Calibri"/>
                <w:sz w:val="22"/>
              </w:rPr>
              <w:t>$3.082B</w:t>
            </w:r>
          </w:p>
        </w:tc>
        <w:tc>
          <w:tcPr>
            <w:tcW w:type="dxa" w:w="1234"/>
          </w:tcPr>
          <w:p>
            <w:r>
              <w:rPr>
                <w:rFonts w:ascii="Calibri" w:hAnsi="Calibri"/>
                <w:sz w:val="22"/>
              </w:rPr>
              <w:t>$3.158B</w:t>
            </w:r>
          </w:p>
        </w:tc>
        <w:tc>
          <w:tcPr>
            <w:tcW w:type="dxa" w:w="1234"/>
          </w:tcPr>
          <w:p>
            <w:r>
              <w:rPr>
                <w:rFonts w:ascii="Calibri" w:hAnsi="Calibri"/>
                <w:sz w:val="22"/>
              </w:rPr>
              <w:t>+2.5% YoY</w:t>
            </w:r>
          </w:p>
        </w:tc>
        <w:tc>
          <w:tcPr>
            <w:tcW w:type="dxa" w:w="1234"/>
          </w:tcPr>
          <w:p>
            <w:r>
              <w:rPr>
                <w:rFonts w:ascii="Calibri" w:hAnsi="Calibri"/>
                <w:sz w:val="22"/>
              </w:rPr>
              <w:t>~$3.15B (implied)</w:t>
            </w:r>
          </w:p>
        </w:tc>
        <w:tc>
          <w:tcPr>
            <w:tcW w:type="dxa" w:w="1234"/>
          </w:tcPr>
          <w:p>
            <w:r>
              <w:rPr>
                <w:rFonts w:ascii="Calibri" w:hAnsi="Calibri"/>
                <w:sz w:val="22"/>
              </w:rPr>
              <w:t>+0.3%</w:t>
            </w:r>
          </w:p>
        </w:tc>
      </w:tr>
      <w:tr>
        <w:tc>
          <w:tcPr>
            <w:tcW w:type="dxa" w:w="1234"/>
          </w:tcPr>
          <w:p>
            <w:r>
              <w:rPr>
                <w:rFonts w:ascii="Calibri" w:hAnsi="Calibri"/>
                <w:sz w:val="22"/>
              </w:rPr>
              <w:t>Shipbuilding Revenue ($B)</w:t>
            </w:r>
          </w:p>
        </w:tc>
        <w:tc>
          <w:tcPr>
            <w:tcW w:type="dxa" w:w="1234"/>
          </w:tcPr>
          <w:p>
            <w:r>
              <w:rPr>
                <w:rFonts w:ascii="Calibri" w:hAnsi="Calibri"/>
                <w:sz w:val="22"/>
              </w:rPr>
              <w:t>$2.390B</w:t>
            </w:r>
          </w:p>
        </w:tc>
        <w:tc>
          <w:tcPr>
            <w:tcW w:type="dxa" w:w="1234"/>
          </w:tcPr>
          <w:p>
            <w:r>
              <w:rPr>
                <w:rFonts w:ascii="Calibri" w:hAnsi="Calibri"/>
                <w:sz w:val="22"/>
              </w:rPr>
              <w:t>$2.327B</w:t>
            </w:r>
          </w:p>
        </w:tc>
        <w:tc>
          <w:tcPr>
            <w:tcW w:type="dxa" w:w="1234"/>
          </w:tcPr>
          <w:p>
            <w:r>
              <w:rPr>
                <w:rFonts w:ascii="Calibri" w:hAnsi="Calibri"/>
                <w:sz w:val="22"/>
              </w:rPr>
              <w:t>$2.429B</w:t>
            </w:r>
          </w:p>
        </w:tc>
        <w:tc>
          <w:tcPr>
            <w:tcW w:type="dxa" w:w="1234"/>
          </w:tcPr>
          <w:p>
            <w:r>
              <w:rPr>
                <w:rFonts w:ascii="Calibri" w:hAnsi="Calibri"/>
                <w:sz w:val="22"/>
              </w:rPr>
              <w:t>+4.4% YoY</w:t>
            </w:r>
          </w:p>
        </w:tc>
        <w:tc>
          <w:tcPr>
            <w:tcW w:type="dxa" w:w="1234"/>
          </w:tcPr>
          <w:p>
            <w:r>
              <w:rPr>
                <w:rFonts w:ascii="Calibri" w:hAnsi="Calibri"/>
                <w:sz w:val="22"/>
              </w:rPr>
              <w:t>~$2.4B</w:t>
            </w:r>
          </w:p>
        </w:tc>
        <w:tc>
          <w:tcPr>
            <w:tcW w:type="dxa" w:w="1234"/>
          </w:tcPr>
          <w:p>
            <w:r>
              <w:rPr>
                <w:rFonts w:ascii="Calibri" w:hAnsi="Calibri"/>
                <w:sz w:val="22"/>
              </w:rPr>
              <w:t>+1.2%</w:t>
            </w:r>
          </w:p>
        </w:tc>
      </w:tr>
      <w:tr>
        <w:tc>
          <w:tcPr>
            <w:tcW w:type="dxa" w:w="1234"/>
          </w:tcPr>
          <w:p>
            <w:r>
              <w:rPr>
                <w:rFonts w:ascii="Calibri" w:hAnsi="Calibri"/>
                <w:sz w:val="22"/>
              </w:rPr>
              <w:t>Mission Technologies Revenue ($B)</w:t>
            </w:r>
          </w:p>
        </w:tc>
        <w:tc>
          <w:tcPr>
            <w:tcW w:type="dxa" w:w="1234"/>
          </w:tcPr>
          <w:p>
            <w:r>
              <w:rPr>
                <w:rFonts w:ascii="Calibri" w:hAnsi="Calibri"/>
                <w:sz w:val="22"/>
              </w:rPr>
              <w:t>$0.748B</w:t>
            </w:r>
          </w:p>
        </w:tc>
        <w:tc>
          <w:tcPr>
            <w:tcW w:type="dxa" w:w="1234"/>
          </w:tcPr>
          <w:p>
            <w:r>
              <w:rPr>
                <w:rFonts w:ascii="Calibri" w:hAnsi="Calibri"/>
                <w:sz w:val="22"/>
              </w:rPr>
              <w:t>$0.791B</w:t>
            </w:r>
          </w:p>
        </w:tc>
        <w:tc>
          <w:tcPr>
            <w:tcW w:type="dxa" w:w="1234"/>
          </w:tcPr>
          <w:p>
            <w:r>
              <w:rPr>
                <w:rFonts w:ascii="Calibri" w:hAnsi="Calibri"/>
                <w:sz w:val="22"/>
              </w:rPr>
              <w:t>$0.760B</w:t>
            </w:r>
          </w:p>
        </w:tc>
        <w:tc>
          <w:tcPr>
            <w:tcW w:type="dxa" w:w="1234"/>
          </w:tcPr>
          <w:p>
            <w:r>
              <w:rPr>
                <w:rFonts w:ascii="Calibri" w:hAnsi="Calibri"/>
                <w:sz w:val="22"/>
              </w:rPr>
              <w:t>-3.9% YoY</w:t>
            </w:r>
          </w:p>
        </w:tc>
        <w:tc>
          <w:tcPr>
            <w:tcW w:type="dxa" w:w="1234"/>
          </w:tcPr>
          <w:p>
            <w:r>
              <w:rPr>
                <w:rFonts w:ascii="Calibri" w:hAnsi="Calibri"/>
                <w:sz w:val="22"/>
              </w:rPr>
              <w:t>~$750M</w:t>
            </w:r>
          </w:p>
        </w:tc>
        <w:tc>
          <w:tcPr>
            <w:tcW w:type="dxa" w:w="1234"/>
          </w:tcPr>
          <w:p>
            <w:r>
              <w:rPr>
                <w:rFonts w:ascii="Calibri" w:hAnsi="Calibri"/>
                <w:sz w:val="22"/>
              </w:rPr>
              <w:t>+1.3%</w:t>
            </w:r>
          </w:p>
        </w:tc>
      </w:tr>
      <w:tr>
        <w:tc>
          <w:tcPr>
            <w:tcW w:type="dxa" w:w="1234"/>
          </w:tcPr>
          <w:p>
            <w:r>
              <w:rPr>
                <w:rFonts w:ascii="Calibri" w:hAnsi="Calibri"/>
                <w:sz w:val="22"/>
              </w:rPr>
              <w:t>Shipbuilding Op. Margin (%)</w:t>
            </w:r>
          </w:p>
        </w:tc>
        <w:tc>
          <w:tcPr>
            <w:tcW w:type="dxa" w:w="1234"/>
          </w:tcPr>
          <w:p>
            <w:r>
              <w:rPr>
                <w:rFonts w:ascii="Calibri" w:hAnsi="Calibri"/>
                <w:sz w:val="22"/>
              </w:rPr>
              <w:t>5.73%</w:t>
            </w:r>
          </w:p>
        </w:tc>
        <w:tc>
          <w:tcPr>
            <w:tcW w:type="dxa" w:w="1234"/>
          </w:tcPr>
          <w:p>
            <w:r>
              <w:rPr>
                <w:rFonts w:ascii="Calibri" w:hAnsi="Calibri"/>
                <w:sz w:val="22"/>
              </w:rPr>
              <w:t>5.84%</w:t>
            </w:r>
          </w:p>
        </w:tc>
        <w:tc>
          <w:tcPr>
            <w:tcW w:type="dxa" w:w="1234"/>
          </w:tcPr>
          <w:p>
            <w:r>
              <w:rPr>
                <w:rFonts w:ascii="Calibri" w:hAnsi="Calibri"/>
                <w:sz w:val="22"/>
              </w:rPr>
              <w:t>5.90%</w:t>
            </w:r>
          </w:p>
        </w:tc>
        <w:tc>
          <w:tcPr>
            <w:tcW w:type="dxa" w:w="1234"/>
          </w:tcPr>
          <w:p>
            <w:r>
              <w:rPr>
                <w:rFonts w:ascii="Calibri" w:hAnsi="Calibri"/>
                <w:sz w:val="22"/>
              </w:rPr>
              <w:t>+6 bps YoY</w:t>
            </w:r>
          </w:p>
        </w:tc>
        <w:tc>
          <w:tcPr>
            <w:tcW w:type="dxa" w:w="1234"/>
          </w:tcPr>
          <w:p>
            <w:r>
              <w:rPr>
                <w:rFonts w:ascii="Calibri" w:hAnsi="Calibri"/>
                <w:sz w:val="22"/>
              </w:rPr>
              <w:t>5.7%–6.0%</w:t>
            </w:r>
          </w:p>
        </w:tc>
        <w:tc>
          <w:tcPr>
            <w:tcW w:type="dxa" w:w="1234"/>
          </w:tcPr>
          <w:p>
            <w:r>
              <w:rPr>
                <w:rFonts w:ascii="Calibri" w:hAnsi="Calibri"/>
                <w:sz w:val="22"/>
              </w:rPr>
              <w:t>At midpoint</w:t>
            </w:r>
          </w:p>
        </w:tc>
      </w:tr>
      <w:tr>
        <w:tc>
          <w:tcPr>
            <w:tcW w:type="dxa" w:w="1234"/>
          </w:tcPr>
          <w:p>
            <w:r>
              <w:rPr>
                <w:rFonts w:ascii="Calibri" w:hAnsi="Calibri"/>
                <w:sz w:val="22"/>
              </w:rPr>
              <w:t>Mission Tech. Op. Margin (%)</w:t>
            </w:r>
          </w:p>
        </w:tc>
        <w:tc>
          <w:tcPr>
            <w:tcW w:type="dxa" w:w="1234"/>
          </w:tcPr>
          <w:p>
            <w:r>
              <w:rPr>
                <w:rFonts w:ascii="Calibri" w:hAnsi="Calibri"/>
                <w:sz w:val="22"/>
              </w:rPr>
              <w:t>4.68%</w:t>
            </w:r>
          </w:p>
        </w:tc>
        <w:tc>
          <w:tcPr>
            <w:tcW w:type="dxa" w:w="1234"/>
          </w:tcPr>
          <w:p>
            <w:r>
              <w:rPr>
                <w:rFonts w:ascii="Calibri" w:hAnsi="Calibri"/>
                <w:sz w:val="22"/>
              </w:rPr>
              <w:t>4.55%</w:t>
            </w:r>
          </w:p>
        </w:tc>
        <w:tc>
          <w:tcPr>
            <w:tcW w:type="dxa" w:w="1234"/>
          </w:tcPr>
          <w:p>
            <w:r>
              <w:rPr>
                <w:rFonts w:ascii="Calibri" w:hAnsi="Calibri"/>
                <w:sz w:val="22"/>
              </w:rPr>
              <w:t>4.26%</w:t>
            </w:r>
          </w:p>
        </w:tc>
        <w:tc>
          <w:tcPr>
            <w:tcW w:type="dxa" w:w="1234"/>
          </w:tcPr>
          <w:p>
            <w:r>
              <w:rPr>
                <w:rFonts w:ascii="Calibri" w:hAnsi="Calibri"/>
                <w:sz w:val="22"/>
              </w:rPr>
              <w:t>-29 bps YoY</w:t>
            </w:r>
          </w:p>
        </w:tc>
        <w:tc>
          <w:tcPr>
            <w:tcW w:type="dxa" w:w="1234"/>
          </w:tcPr>
          <w:p>
            <w:r>
              <w:rPr>
                <w:rFonts w:ascii="Calibri" w:hAnsi="Calibri"/>
                <w:sz w:val="22"/>
              </w:rPr>
              <w:t>~4.0%</w:t>
            </w:r>
          </w:p>
        </w:tc>
        <w:tc>
          <w:tcPr>
            <w:tcW w:type="dxa" w:w="1234"/>
          </w:tcPr>
          <w:p>
            <w:r>
              <w:rPr>
                <w:rFonts w:ascii="Calibri" w:hAnsi="Calibri"/>
                <w:sz w:val="22"/>
              </w:rPr>
              <w:t>+26 bps above guide</w:t>
            </w:r>
          </w:p>
        </w:tc>
      </w:tr>
      <w:tr>
        <w:tc>
          <w:tcPr>
            <w:tcW w:type="dxa" w:w="1234"/>
          </w:tcPr>
          <w:p>
            <w:r>
              <w:rPr>
                <w:rFonts w:ascii="Calibri" w:hAnsi="Calibri"/>
                <w:sz w:val="22"/>
              </w:rPr>
              <w:t>EPS — Diluted Operating ($)</w:t>
            </w:r>
          </w:p>
        </w:tc>
        <w:tc>
          <w:tcPr>
            <w:tcW w:type="dxa" w:w="1234"/>
          </w:tcPr>
          <w:p>
            <w:r>
              <w:rPr>
                <w:rFonts w:ascii="Calibri" w:hAnsi="Calibri"/>
                <w:sz w:val="22"/>
              </w:rPr>
              <w:t>$3.29</w:t>
            </w:r>
          </w:p>
        </w:tc>
        <w:tc>
          <w:tcPr>
            <w:tcW w:type="dxa" w:w="1234"/>
          </w:tcPr>
          <w:p>
            <w:r>
              <w:rPr>
                <w:rFonts w:ascii="Calibri" w:hAnsi="Calibri"/>
                <w:sz w:val="22"/>
              </w:rPr>
              <w:t>$3.33</w:t>
            </w:r>
          </w:p>
        </w:tc>
        <w:tc>
          <w:tcPr>
            <w:tcW w:type="dxa" w:w="1234"/>
          </w:tcPr>
          <w:p>
            <w:r>
              <w:rPr>
                <w:rFonts w:ascii="Calibri" w:hAnsi="Calibri"/>
                <w:sz w:val="22"/>
              </w:rPr>
              <w:t>$3.32</w:t>
            </w:r>
          </w:p>
        </w:tc>
        <w:tc>
          <w:tcPr>
            <w:tcW w:type="dxa" w:w="1234"/>
          </w:tcPr>
          <w:p>
            <w:r>
              <w:rPr>
                <w:rFonts w:ascii="Calibri" w:hAnsi="Calibri"/>
                <w:sz w:val="22"/>
              </w:rPr>
              <w:t>-0.3% YoY</w:t>
            </w:r>
          </w:p>
        </w:tc>
        <w:tc>
          <w:tcPr>
            <w:tcW w:type="dxa" w:w="1234"/>
          </w:tcPr>
          <w:p>
            <w:r>
              <w:rPr>
                <w:rFonts w:ascii="Calibri" w:hAnsi="Calibri"/>
                <w:sz w:val="22"/>
              </w:rPr>
              <w:t>N/A (no quarterly EPS guide)</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-$461M</w:t>
            </w:r>
          </w:p>
        </w:tc>
        <w:tc>
          <w:tcPr>
            <w:tcW w:type="dxa" w:w="1234"/>
          </w:tcPr>
          <w:p>
            <w:r>
              <w:rPr>
                <w:rFonts w:ascii="Calibri" w:hAnsi="Calibri"/>
                <w:sz w:val="22"/>
              </w:rPr>
              <w:t>+$730M</w:t>
            </w:r>
          </w:p>
        </w:tc>
        <w:tc>
          <w:tcPr>
            <w:tcW w:type="dxa" w:w="1234"/>
          </w:tcPr>
          <w:p>
            <w:r>
              <w:rPr>
                <w:rFonts w:ascii="Calibri" w:hAnsi="Calibri"/>
                <w:sz w:val="22"/>
              </w:rPr>
              <w:t>+$72M</w:t>
            </w:r>
          </w:p>
        </w:tc>
        <w:tc>
          <w:tcPr>
            <w:tcW w:type="dxa" w:w="1234"/>
          </w:tcPr>
          <w:p>
            <w:r>
              <w:rPr>
                <w:rFonts w:ascii="Calibri" w:hAnsi="Calibri"/>
                <w:sz w:val="22"/>
              </w:rPr>
              <w:t>N/M (seasonal)</w:t>
            </w:r>
          </w:p>
        </w:tc>
        <w:tc>
          <w:tcPr>
            <w:tcW w:type="dxa" w:w="1234"/>
          </w:tcPr>
          <w:p>
            <w:r>
              <w:rPr>
                <w:rFonts w:ascii="Calibri" w:hAnsi="Calibri"/>
                <w:sz w:val="22"/>
              </w:rPr>
              <w:t>-$100M to +$100M</w:t>
            </w:r>
          </w:p>
        </w:tc>
        <w:tc>
          <w:tcPr>
            <w:tcW w:type="dxa" w:w="1234"/>
          </w:tcPr>
          <w:p>
            <w:r>
              <w:rPr>
                <w:rFonts w:ascii="Calibri" w:hAnsi="Calibri"/>
                <w:sz w:val="22"/>
              </w:rPr>
              <w:t>Within range</w:t>
            </w:r>
          </w:p>
        </w:tc>
      </w:tr>
    </w:tbl>
    <w:p>
      <w:r>
        <w:rPr>
          <w:rFonts w:ascii="Calibri" w:hAnsi="Calibri"/>
          <w:i/>
          <w:color w:val="525866"/>
          <w:sz w:val="22"/>
        </w:rPr>
        <w:t>Source: Visible Alpha consensus and actuals data; HII Q1 2026 earnings call (May 5, 2026). Note: Q2 2026 consensus as of July 29, 2026. Tax rate for Q2 guided at 21% (vs. 17% full-year) due to timing of R&amp;D tax credit.</w:t>
      </w:r>
    </w:p>
    <w:p>
      <w:pPr>
        <w:pStyle w:val="Heading3"/>
      </w:pPr>
      <w:r>
        <w:rPr>
          <w:rFonts w:ascii="Calibri" w:hAnsi="Calibri"/>
          <w:b/>
          <w:color w:val="3B4259"/>
          <w:sz w:val="24"/>
        </w:rPr>
        <w:t>Table 2 — Beat/Miss History (Last 8 Quarters) — Top 2 KPIs: Shipbuilding Revenue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Shipbuilding Rev.</w:t>
            </w:r>
          </w:p>
        </w:tc>
        <w:tc>
          <w:tcPr>
            <w:tcW w:type="dxa" w:w="1440"/>
          </w:tcPr>
          <w:p>
            <w:r>
              <w:rPr>
                <w:rFonts w:ascii="Calibri" w:hAnsi="Calibri"/>
                <w:sz w:val="22"/>
              </w:rPr>
              <w:t>$2.390B</w:t>
            </w:r>
          </w:p>
        </w:tc>
        <w:tc>
          <w:tcPr>
            <w:tcW w:type="dxa" w:w="1440"/>
          </w:tcPr>
          <w:p>
            <w:r>
              <w:rPr>
                <w:rFonts w:ascii="Calibri" w:hAnsi="Calibri"/>
                <w:sz w:val="22"/>
              </w:rPr>
              <w:t>$2.308B</w:t>
            </w:r>
          </w:p>
        </w:tc>
        <w:tc>
          <w:tcPr>
            <w:tcW w:type="dxa" w:w="1440"/>
          </w:tcPr>
          <w:p>
            <w:r>
              <w:rPr>
                <w:rFonts w:ascii="Calibri" w:hAnsi="Calibri"/>
                <w:b/>
                <w:color w:val="30A46C"/>
                <w:sz w:val="22"/>
              </w:rPr>
              <w:t>+3.5%</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$3.29</w:t>
            </w:r>
          </w:p>
        </w:tc>
        <w:tc>
          <w:tcPr>
            <w:tcW w:type="dxa" w:w="1440"/>
          </w:tcPr>
          <w:p>
            <w:r>
              <w:rPr>
                <w:rFonts w:ascii="Calibri" w:hAnsi="Calibri"/>
                <w:sz w:val="22"/>
              </w:rPr>
              <w:t>$3.16</w:t>
            </w:r>
          </w:p>
        </w:tc>
        <w:tc>
          <w:tcPr>
            <w:tcW w:type="dxa" w:w="1440"/>
          </w:tcPr>
          <w:p>
            <w:r>
              <w:rPr>
                <w:rFonts w:ascii="Calibri" w:hAnsi="Calibri"/>
                <w:b/>
                <w:color w:val="30A46C"/>
                <w:sz w:val="22"/>
              </w:rPr>
              <w:t>+4.1%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Shipbuilding Rev.</w:t>
            </w:r>
          </w:p>
        </w:tc>
        <w:tc>
          <w:tcPr>
            <w:tcW w:type="dxa" w:w="1440"/>
          </w:tcPr>
          <w:p>
            <w:r>
              <w:rPr>
                <w:rFonts w:ascii="Calibri" w:hAnsi="Calibri"/>
                <w:sz w:val="22"/>
              </w:rPr>
              <w:t>$2.780B</w:t>
            </w:r>
          </w:p>
        </w:tc>
        <w:tc>
          <w:tcPr>
            <w:tcW w:type="dxa" w:w="1440"/>
          </w:tcPr>
          <w:p>
            <w:r>
              <w:rPr>
                <w:rFonts w:ascii="Calibri" w:hAnsi="Calibri"/>
                <w:sz w:val="22"/>
              </w:rPr>
              <w:t>$2.343B</w:t>
            </w:r>
          </w:p>
        </w:tc>
        <w:tc>
          <w:tcPr>
            <w:tcW w:type="dxa" w:w="1440"/>
          </w:tcPr>
          <w:p>
            <w:r>
              <w:rPr>
                <w:rFonts w:ascii="Calibri" w:hAnsi="Calibri"/>
                <w:b/>
                <w:color w:val="30A46C"/>
                <w:sz w:val="22"/>
              </w:rPr>
              <w:t>+18.6%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$3.55</w:t>
            </w:r>
          </w:p>
        </w:tc>
        <w:tc>
          <w:tcPr>
            <w:tcW w:type="dxa" w:w="1440"/>
          </w:tcPr>
          <w:p>
            <w:r>
              <w:rPr>
                <w:rFonts w:ascii="Calibri" w:hAnsi="Calibri"/>
                <w:sz w:val="22"/>
              </w:rPr>
              <w:t>$3.31</w:t>
            </w:r>
          </w:p>
        </w:tc>
        <w:tc>
          <w:tcPr>
            <w:tcW w:type="dxa" w:w="1440"/>
          </w:tcPr>
          <w:p>
            <w:r>
              <w:rPr>
                <w:rFonts w:ascii="Calibri" w:hAnsi="Calibri"/>
                <w:b/>
                <w:color w:val="30A46C"/>
                <w:sz w:val="22"/>
              </w:rPr>
              <w:t>+7.3%</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Shipbuilding Rev.</w:t>
            </w:r>
          </w:p>
        </w:tc>
        <w:tc>
          <w:tcPr>
            <w:tcW w:type="dxa" w:w="1440"/>
          </w:tcPr>
          <w:p>
            <w:r>
              <w:rPr>
                <w:rFonts w:ascii="Calibri" w:hAnsi="Calibri"/>
                <w:sz w:val="22"/>
              </w:rPr>
              <w:t>$2.445B</w:t>
            </w:r>
          </w:p>
        </w:tc>
        <w:tc>
          <w:tcPr>
            <w:tcW w:type="dxa" w:w="1440"/>
          </w:tcPr>
          <w:p>
            <w:r>
              <w:rPr>
                <w:rFonts w:ascii="Calibri" w:hAnsi="Calibri"/>
                <w:sz w:val="22"/>
              </w:rPr>
              <w:t>$2.249B</w:t>
            </w:r>
          </w:p>
        </w:tc>
        <w:tc>
          <w:tcPr>
            <w:tcW w:type="dxa" w:w="1440"/>
          </w:tcPr>
          <w:p>
            <w:r>
              <w:rPr>
                <w:rFonts w:ascii="Calibri" w:hAnsi="Calibri"/>
                <w:b/>
                <w:color w:val="30A46C"/>
                <w:sz w:val="22"/>
              </w:rPr>
              <w:t>+8.7%</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$3.17</w:t>
            </w:r>
          </w:p>
        </w:tc>
        <w:tc>
          <w:tcPr>
            <w:tcW w:type="dxa" w:w="1440"/>
          </w:tcPr>
          <w:p>
            <w:r>
              <w:rPr>
                <w:rFonts w:ascii="Calibri" w:hAnsi="Calibri"/>
                <w:sz w:val="22"/>
              </w:rPr>
              <w:t>$2.77</w:t>
            </w:r>
          </w:p>
        </w:tc>
        <w:tc>
          <w:tcPr>
            <w:tcW w:type="dxa" w:w="1440"/>
          </w:tcPr>
          <w:p>
            <w:r>
              <w:rPr>
                <w:rFonts w:ascii="Calibri" w:hAnsi="Calibri"/>
                <w:b/>
                <w:color w:val="30A46C"/>
                <w:sz w:val="22"/>
              </w:rPr>
              <w:t>+14.4%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Shipbuilding Rev.</w:t>
            </w:r>
          </w:p>
        </w:tc>
        <w:tc>
          <w:tcPr>
            <w:tcW w:type="dxa" w:w="1440"/>
          </w:tcPr>
          <w:p>
            <w:r>
              <w:rPr>
                <w:rFonts w:ascii="Calibri" w:hAnsi="Calibri"/>
                <w:sz w:val="22"/>
              </w:rPr>
              <w:t>$2.327B</w:t>
            </w:r>
          </w:p>
        </w:tc>
        <w:tc>
          <w:tcPr>
            <w:tcW w:type="dxa" w:w="1440"/>
          </w:tcPr>
          <w:p>
            <w:r>
              <w:rPr>
                <w:rFonts w:ascii="Calibri" w:hAnsi="Calibri"/>
                <w:sz w:val="22"/>
              </w:rPr>
              <w:t>$2.202B</w:t>
            </w:r>
          </w:p>
        </w:tc>
        <w:tc>
          <w:tcPr>
            <w:tcW w:type="dxa" w:w="1440"/>
          </w:tcPr>
          <w:p>
            <w:r>
              <w:rPr>
                <w:rFonts w:ascii="Calibri" w:hAnsi="Calibri"/>
                <w:b/>
                <w:color w:val="30A46C"/>
                <w:sz w:val="22"/>
              </w:rPr>
              <w:t>+5.7%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$3.33</w:t>
            </w:r>
          </w:p>
        </w:tc>
        <w:tc>
          <w:tcPr>
            <w:tcW w:type="dxa" w:w="1440"/>
          </w:tcPr>
          <w:p>
            <w:r>
              <w:rPr>
                <w:rFonts w:ascii="Calibri" w:hAnsi="Calibri"/>
                <w:sz w:val="22"/>
              </w:rPr>
              <w:t>$2.71</w:t>
            </w:r>
          </w:p>
        </w:tc>
        <w:tc>
          <w:tcPr>
            <w:tcW w:type="dxa" w:w="1440"/>
          </w:tcPr>
          <w:p>
            <w:r>
              <w:rPr>
                <w:rFonts w:ascii="Calibri" w:hAnsi="Calibri"/>
                <w:b/>
                <w:color w:val="30A46C"/>
                <w:sz w:val="22"/>
              </w:rPr>
              <w:t>+22.9%</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Shipbuilding Rev.</w:t>
            </w:r>
          </w:p>
        </w:tc>
        <w:tc>
          <w:tcPr>
            <w:tcW w:type="dxa" w:w="1440"/>
          </w:tcPr>
          <w:p>
            <w:r>
              <w:rPr>
                <w:rFonts w:ascii="Calibri" w:hAnsi="Calibri"/>
                <w:sz w:val="22"/>
              </w:rPr>
              <w:t>$2.033B</w:t>
            </w:r>
          </w:p>
        </w:tc>
        <w:tc>
          <w:tcPr>
            <w:tcW w:type="dxa" w:w="1440"/>
          </w:tcPr>
          <w:p>
            <w:r>
              <w:rPr>
                <w:rFonts w:ascii="Calibri" w:hAnsi="Calibri"/>
                <w:sz w:val="22"/>
              </w:rPr>
              <w:t>$2.135B</w:t>
            </w:r>
          </w:p>
        </w:tc>
        <w:tc>
          <w:tcPr>
            <w:tcW w:type="dxa" w:w="1440"/>
          </w:tcPr>
          <w:p>
            <w:r>
              <w:rPr>
                <w:rFonts w:ascii="Calibri" w:hAnsi="Calibri"/>
                <w:b/>
                <w:color w:val="E5484D"/>
                <w:sz w:val="22"/>
              </w:rPr>
              <w:t>-4.8%</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$2.44</w:t>
            </w:r>
          </w:p>
        </w:tc>
        <w:tc>
          <w:tcPr>
            <w:tcW w:type="dxa" w:w="1440"/>
          </w:tcPr>
          <w:p>
            <w:r>
              <w:rPr>
                <w:rFonts w:ascii="Calibri" w:hAnsi="Calibri"/>
                <w:sz w:val="22"/>
              </w:rPr>
              <w:t>$2.44</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Q4 2024</w:t>
            </w:r>
          </w:p>
        </w:tc>
        <w:tc>
          <w:tcPr>
            <w:tcW w:type="dxa" w:w="1440"/>
          </w:tcPr>
          <w:p>
            <w:r>
              <w:rPr>
                <w:rFonts w:ascii="Calibri" w:hAnsi="Calibri"/>
                <w:sz w:val="22"/>
              </w:rPr>
              <w:t>Shipbuilding Rev.</w:t>
            </w:r>
          </w:p>
        </w:tc>
        <w:tc>
          <w:tcPr>
            <w:tcW w:type="dxa" w:w="1440"/>
          </w:tcPr>
          <w:p>
            <w:r>
              <w:rPr>
                <w:rFonts w:ascii="Calibri" w:hAnsi="Calibri"/>
                <w:sz w:val="22"/>
              </w:rPr>
              <w:t>$2.324B</w:t>
            </w:r>
          </w:p>
        </w:tc>
        <w:tc>
          <w:tcPr>
            <w:tcW w:type="dxa" w:w="1440"/>
          </w:tcPr>
          <w:p>
            <w:r>
              <w:rPr>
                <w:rFonts w:ascii="Calibri" w:hAnsi="Calibri"/>
                <w:sz w:val="22"/>
              </w:rPr>
              <w:t>$2.408B</w:t>
            </w:r>
          </w:p>
        </w:tc>
        <w:tc>
          <w:tcPr>
            <w:tcW w:type="dxa" w:w="1440"/>
          </w:tcPr>
          <w:p>
            <w:r>
              <w:rPr>
                <w:rFonts w:ascii="Calibri" w:hAnsi="Calibri"/>
                <w:b/>
                <w:color w:val="E5484D"/>
                <w:sz w:val="22"/>
              </w:rPr>
              <w:t>-3.5%</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$2.73</w:t>
            </w:r>
          </w:p>
        </w:tc>
        <w:tc>
          <w:tcPr>
            <w:tcW w:type="dxa" w:w="1440"/>
          </w:tcPr>
          <w:p>
            <w:r>
              <w:rPr>
                <w:rFonts w:ascii="Calibri" w:hAnsi="Calibri"/>
                <w:sz w:val="22"/>
              </w:rPr>
              <w:t>$3.01</w:t>
            </w:r>
          </w:p>
        </w:tc>
        <w:tc>
          <w:tcPr>
            <w:tcW w:type="dxa" w:w="1440"/>
          </w:tcPr>
          <w:p>
            <w:r>
              <w:rPr>
                <w:rFonts w:ascii="Calibri" w:hAnsi="Calibri"/>
                <w:b/>
                <w:color w:val="E5484D"/>
                <w:sz w:val="22"/>
              </w:rPr>
              <w:t>-9.3%</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Shipbuilding Rev.</w:t>
            </w:r>
          </w:p>
        </w:tc>
        <w:tc>
          <w:tcPr>
            <w:tcW w:type="dxa" w:w="1440"/>
          </w:tcPr>
          <w:p>
            <w:r>
              <w:rPr>
                <w:rFonts w:ascii="Calibri" w:hAnsi="Calibri"/>
                <w:sz w:val="22"/>
              </w:rPr>
              <w:t>$2.076B</w:t>
            </w:r>
          </w:p>
        </w:tc>
        <w:tc>
          <w:tcPr>
            <w:tcW w:type="dxa" w:w="1440"/>
          </w:tcPr>
          <w:p>
            <w:r>
              <w:rPr>
                <w:rFonts w:ascii="Calibri" w:hAnsi="Calibri"/>
                <w:sz w:val="22"/>
              </w:rPr>
              <w:t>$2.224B</w:t>
            </w:r>
          </w:p>
        </w:tc>
        <w:tc>
          <w:tcPr>
            <w:tcW w:type="dxa" w:w="1440"/>
          </w:tcPr>
          <w:p>
            <w:r>
              <w:rPr>
                <w:rFonts w:ascii="Calibri" w:hAnsi="Calibri"/>
                <w:b/>
                <w:color w:val="E5484D"/>
                <w:sz w:val="22"/>
              </w:rPr>
              <w:t>-6.7%</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$2.16</w:t>
            </w:r>
          </w:p>
        </w:tc>
        <w:tc>
          <w:tcPr>
            <w:tcW w:type="dxa" w:w="1440"/>
          </w:tcPr>
          <w:p>
            <w:r>
              <w:rPr>
                <w:rFonts w:ascii="Calibri" w:hAnsi="Calibri"/>
                <w:sz w:val="22"/>
              </w:rPr>
              <w:t>$3.45</w:t>
            </w:r>
          </w:p>
        </w:tc>
        <w:tc>
          <w:tcPr>
            <w:tcW w:type="dxa" w:w="1440"/>
          </w:tcPr>
          <w:p>
            <w:r>
              <w:rPr>
                <w:rFonts w:ascii="Calibri" w:hAnsi="Calibri"/>
                <w:b/>
                <w:color w:val="E5484D"/>
                <w:sz w:val="22"/>
              </w:rPr>
              <w:t>-37.4%</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Shipbuilding Rev.</w:t>
            </w:r>
          </w:p>
        </w:tc>
        <w:tc>
          <w:tcPr>
            <w:tcW w:type="dxa" w:w="1440"/>
          </w:tcPr>
          <w:p>
            <w:r>
              <w:rPr>
                <w:rFonts w:ascii="Calibri" w:hAnsi="Calibri"/>
                <w:sz w:val="22"/>
              </w:rPr>
              <w:t>$2.247B</w:t>
            </w:r>
          </w:p>
        </w:tc>
        <w:tc>
          <w:tcPr>
            <w:tcW w:type="dxa" w:w="1440"/>
          </w:tcPr>
          <w:p>
            <w:r>
              <w:rPr>
                <w:rFonts w:ascii="Calibri" w:hAnsi="Calibri"/>
                <w:sz w:val="22"/>
              </w:rPr>
              <w:t>$2.205B</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Op. EPS</w:t>
            </w:r>
          </w:p>
        </w:tc>
        <w:tc>
          <w:tcPr>
            <w:tcW w:type="dxa" w:w="1440"/>
          </w:tcPr>
          <w:p>
            <w:r>
              <w:rPr>
                <w:rFonts w:ascii="Calibri" w:hAnsi="Calibri"/>
                <w:sz w:val="22"/>
              </w:rPr>
              <w:t>$3.98</w:t>
            </w:r>
          </w:p>
        </w:tc>
        <w:tc>
          <w:tcPr>
            <w:tcW w:type="dxa" w:w="1440"/>
          </w:tcPr>
          <w:p>
            <w:r>
              <w:rPr>
                <w:rFonts w:ascii="Calibri" w:hAnsi="Calibri"/>
                <w:sz w:val="22"/>
              </w:rPr>
              <w:t>$3.22</w:t>
            </w:r>
          </w:p>
        </w:tc>
        <w:tc>
          <w:tcPr>
            <w:tcW w:type="dxa" w:w="1440"/>
          </w:tcPr>
          <w:p>
            <w:r>
              <w:rPr>
                <w:rFonts w:ascii="Calibri" w:hAnsi="Calibri"/>
                <w:b/>
                <w:color w:val="30A46C"/>
                <w:sz w:val="22"/>
              </w:rPr>
              <w:t>+23.7%</w:t>
            </w:r>
          </w:p>
        </w:tc>
        <w:tc>
          <w:tcPr>
            <w:tcW w:type="dxa" w:w="1440"/>
          </w:tcPr>
          <w:p>
            <w:r>
              <w:rPr>
                <w:rFonts w:ascii="Calibri" w:hAnsi="Calibri"/>
                <w:sz w:val="22"/>
              </w:rPr>
              <w:t>Beat</w:t>
            </w:r>
          </w:p>
        </w:tc>
      </w:tr>
    </w:tbl>
    <w:p>
      <w:r>
        <w:rPr>
          <w:rFonts w:ascii="Calibri" w:hAnsi="Calibri"/>
          <w:i/>
          <w:color w:val="525866"/>
          <w:sz w:val="22"/>
        </w:rPr>
        <w:t xml:space="preserve">Source: Visible Alpha consensus and actuals data. </w:t>
      </w:r>
      <w:r>
        <w:rPr>
          <w:rFonts w:ascii="Calibri" w:hAnsi="Calibri"/>
          <w:b/>
          <w:color w:val="525866"/>
          <w:sz w:val="22"/>
        </w:rPr>
        <w:t xml:space="preserve">Pattern: </w:t>
      </w:r>
      <w:r>
        <w:rPr>
          <w:rFonts w:ascii="Calibri" w:hAnsi="Calibri"/>
          <w:i/>
          <w:color w:val="525866"/>
          <w:sz w:val="22"/>
        </w:rPr>
        <w:t>HII has beaten on shipbuilding revenue in 5 of the last 8 quarters, with the three misses concentrated in Q3–Q4 2024 when pre-COVID contract headwinds were most acute. The beat cadence has improved materially since Q2 2025, consistent with the throughput acceleration narrative. EPS beats have been large when they occur but the Q3–4 2024 misses were severe, reflecting the binary nature of contract adjustments.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reaffirmed all FY2026 guidance elements at Q1 earnings (May 5) and again at the Bernstein conference (May 28) — no formal revisions since last earnings. Tone is cautiously confident: the Block VI/Columbia contract award (July 29) is the first material post-earnings development and is unambiguously positive for H2 FCF and margin trajectory.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Total Revenue</w:t>
            </w:r>
          </w:p>
        </w:tc>
        <w:tc>
          <w:tcPr>
            <w:tcW w:type="dxa" w:w="1728"/>
          </w:tcPr>
          <w:p>
            <w:r>
              <w:rPr>
                <w:rFonts w:ascii="Calibri" w:hAnsi="Calibri"/>
                <w:sz w:val="22"/>
              </w:rPr>
              <w:t>~$12.7–13.1B (implied: Shipbuilding $9.7–9.9B + MT $3.0–3.2B)</w:t>
            </w:r>
          </w:p>
        </w:tc>
        <w:tc>
          <w:tcPr>
            <w:tcW w:type="dxa" w:w="1728"/>
          </w:tcPr>
          <w:p>
            <w:r>
              <w:rPr>
                <w:rFonts w:ascii="Calibri" w:hAnsi="Calibri"/>
                <w:sz w:val="22"/>
              </w:rPr>
              <w:t>—</w:t>
            </w:r>
          </w:p>
        </w:tc>
        <w:tc>
          <w:tcPr>
            <w:tcW w:type="dxa" w:w="1728"/>
          </w:tcPr>
          <w:p>
            <w:r>
              <w:rPr>
                <w:rFonts w:ascii="Calibri" w:hAnsi="Calibri"/>
                <w:sz w:val="22"/>
              </w:rPr>
              <w:t>$12.985B</w:t>
            </w:r>
          </w:p>
        </w:tc>
        <w:tc>
          <w:tcPr>
            <w:tcW w:type="dxa" w:w="1728"/>
          </w:tcPr>
          <w:p>
            <w:r>
              <w:rPr>
                <w:rFonts w:ascii="Calibri" w:hAnsi="Calibri"/>
                <w:sz w:val="22"/>
              </w:rPr>
              <w:t>Reaffirmed at Bernstein (May 28); consensus at midpoint</w:t>
            </w:r>
          </w:p>
        </w:tc>
      </w:tr>
      <w:tr>
        <w:tc>
          <w:tcPr>
            <w:tcW w:type="dxa" w:w="1728"/>
          </w:tcPr>
          <w:p>
            <w:r>
              <w:rPr>
                <w:rFonts w:ascii="Calibri" w:hAnsi="Calibri"/>
                <w:sz w:val="22"/>
              </w:rPr>
              <w:t>FY2026 Shipbuilding Revenue</w:t>
            </w:r>
          </w:p>
        </w:tc>
        <w:tc>
          <w:tcPr>
            <w:tcW w:type="dxa" w:w="1728"/>
          </w:tcPr>
          <w:p>
            <w:r>
              <w:rPr>
                <w:rFonts w:ascii="Calibri" w:hAnsi="Calibri"/>
                <w:sz w:val="22"/>
              </w:rPr>
              <w:t>$9.7B–$9.9B</w:t>
            </w:r>
          </w:p>
        </w:tc>
        <w:tc>
          <w:tcPr>
            <w:tcW w:type="dxa" w:w="1728"/>
          </w:tcPr>
          <w:p>
            <w:r>
              <w:rPr>
                <w:rFonts w:ascii="Calibri" w:hAnsi="Calibri"/>
                <w:sz w:val="22"/>
              </w:rPr>
              <w:t>—</w:t>
            </w:r>
          </w:p>
        </w:tc>
        <w:tc>
          <w:tcPr>
            <w:tcW w:type="dxa" w:w="1728"/>
          </w:tcPr>
          <w:p>
            <w:r>
              <w:rPr>
                <w:rFonts w:ascii="Calibri" w:hAnsi="Calibri"/>
                <w:sz w:val="22"/>
              </w:rPr>
              <w:t>$10.007B</w:t>
            </w:r>
          </w:p>
        </w:tc>
        <w:tc>
          <w:tcPr>
            <w:tcW w:type="dxa" w:w="1728"/>
          </w:tcPr>
          <w:p>
            <w:r>
              <w:rPr>
                <w:rFonts w:ascii="Calibri" w:hAnsi="Calibri"/>
                <w:sz w:val="22"/>
              </w:rPr>
              <w:t>Consensus slightly above top of range; management noted upside opportunity</w:t>
            </w:r>
          </w:p>
        </w:tc>
      </w:tr>
      <w:tr>
        <w:tc>
          <w:tcPr>
            <w:tcW w:type="dxa" w:w="1728"/>
          </w:tcPr>
          <w:p>
            <w:r>
              <w:rPr>
                <w:rFonts w:ascii="Calibri" w:hAnsi="Calibri"/>
                <w:sz w:val="22"/>
              </w:rPr>
              <w:t>FY2026 Mission Technologies Revenue</w:t>
            </w:r>
          </w:p>
        </w:tc>
        <w:tc>
          <w:tcPr>
            <w:tcW w:type="dxa" w:w="1728"/>
          </w:tcPr>
          <w:p>
            <w:r>
              <w:rPr>
                <w:rFonts w:ascii="Calibri" w:hAnsi="Calibri"/>
                <w:sz w:val="22"/>
              </w:rPr>
              <w:t>$3.0B–$3.2B</w:t>
            </w:r>
          </w:p>
        </w:tc>
        <w:tc>
          <w:tcPr>
            <w:tcW w:type="dxa" w:w="1728"/>
          </w:tcPr>
          <w:p>
            <w:r>
              <w:rPr>
                <w:rFonts w:ascii="Calibri" w:hAnsi="Calibri"/>
                <w:sz w:val="22"/>
              </w:rPr>
              <w:t>—</w:t>
            </w:r>
          </w:p>
        </w:tc>
        <w:tc>
          <w:tcPr>
            <w:tcW w:type="dxa" w:w="1728"/>
          </w:tcPr>
          <w:p>
            <w:r>
              <w:rPr>
                <w:rFonts w:ascii="Calibri" w:hAnsi="Calibri"/>
                <w:sz w:val="22"/>
              </w:rPr>
              <w:t>$3.125B</w:t>
            </w:r>
          </w:p>
        </w:tc>
        <w:tc>
          <w:tcPr>
            <w:tcW w:type="dxa" w:w="1728"/>
          </w:tcPr>
          <w:p>
            <w:r>
              <w:rPr>
                <w:rFonts w:ascii="Calibri" w:hAnsi="Calibri"/>
                <w:sz w:val="22"/>
              </w:rPr>
              <w:t>Consensus at midpoint; MT growth slower than Shipbuilding</w:t>
            </w:r>
          </w:p>
        </w:tc>
      </w:tr>
      <w:tr>
        <w:tc>
          <w:tcPr>
            <w:tcW w:type="dxa" w:w="1728"/>
          </w:tcPr>
          <w:p>
            <w:r>
              <w:rPr>
                <w:rFonts w:ascii="Calibri" w:hAnsi="Calibri"/>
                <w:sz w:val="22"/>
              </w:rPr>
              <w:t>FY2026 Shipbuilding Op. Margin</w:t>
            </w:r>
          </w:p>
        </w:tc>
        <w:tc>
          <w:tcPr>
            <w:tcW w:type="dxa" w:w="1728"/>
          </w:tcPr>
          <w:p>
            <w:r>
              <w:rPr>
                <w:rFonts w:ascii="Calibri" w:hAnsi="Calibri"/>
                <w:sz w:val="22"/>
              </w:rPr>
              <w:t>5.5%–6.5%</w:t>
            </w:r>
          </w:p>
        </w:tc>
        <w:tc>
          <w:tcPr>
            <w:tcW w:type="dxa" w:w="1728"/>
          </w:tcPr>
          <w:p>
            <w:r>
              <w:rPr>
                <w:rFonts w:ascii="Calibri" w:hAnsi="Calibri"/>
                <w:sz w:val="22"/>
              </w:rPr>
              <w:t>—</w:t>
            </w:r>
          </w:p>
        </w:tc>
        <w:tc>
          <w:tcPr>
            <w:tcW w:type="dxa" w:w="1728"/>
          </w:tcPr>
          <w:p>
            <w:r>
              <w:rPr>
                <w:rFonts w:ascii="Calibri" w:hAnsi="Calibri"/>
                <w:sz w:val="22"/>
              </w:rPr>
              <w:t>6.13%</w:t>
            </w:r>
          </w:p>
        </w:tc>
        <w:tc>
          <w:tcPr>
            <w:tcW w:type="dxa" w:w="1728"/>
          </w:tcPr>
          <w:p>
            <w:r>
              <w:rPr>
                <w:rFonts w:ascii="Calibri" w:hAnsi="Calibri"/>
                <w:sz w:val="22"/>
              </w:rPr>
              <w:t>Consensus near midpoint; 2027 crossover to post-COVID contracts is key catalyst</w:t>
            </w:r>
          </w:p>
        </w:tc>
      </w:tr>
      <w:tr>
        <w:tc>
          <w:tcPr>
            <w:tcW w:type="dxa" w:w="1728"/>
          </w:tcPr>
          <w:p>
            <w:r>
              <w:rPr>
                <w:rFonts w:ascii="Calibri" w:hAnsi="Calibri"/>
                <w:sz w:val="22"/>
              </w:rPr>
              <w:t>FY2026 Mission Tech. Op. Margin</w:t>
            </w:r>
          </w:p>
        </w:tc>
        <w:tc>
          <w:tcPr>
            <w:tcW w:type="dxa" w:w="1728"/>
          </w:tcPr>
          <w:p>
            <w:r>
              <w:rPr>
                <w:rFonts w:ascii="Calibri" w:hAnsi="Calibri"/>
                <w:sz w:val="22"/>
              </w:rPr>
              <w:t>~5%</w:t>
            </w:r>
          </w:p>
        </w:tc>
        <w:tc>
          <w:tcPr>
            <w:tcW w:type="dxa" w:w="1728"/>
          </w:tcPr>
          <w:p>
            <w:r>
              <w:rPr>
                <w:rFonts w:ascii="Calibri" w:hAnsi="Calibri"/>
                <w:sz w:val="22"/>
              </w:rPr>
              <w:t>—</w:t>
            </w:r>
          </w:p>
        </w:tc>
        <w:tc>
          <w:tcPr>
            <w:tcW w:type="dxa" w:w="1728"/>
          </w:tcPr>
          <w:p>
            <w:r>
              <w:rPr>
                <w:rFonts w:ascii="Calibri" w:hAnsi="Calibri"/>
                <w:sz w:val="22"/>
              </w:rPr>
              <w:t>4.97%</w:t>
            </w:r>
          </w:p>
        </w:tc>
        <w:tc>
          <w:tcPr>
            <w:tcW w:type="dxa" w:w="1728"/>
          </w:tcPr>
          <w:p>
            <w:r>
              <w:rPr>
                <w:rFonts w:ascii="Calibri" w:hAnsi="Calibri"/>
                <w:sz w:val="22"/>
              </w:rPr>
              <w:t>Consensus slightly below guide; strategic unmanned investments weigh on near-term margin</w:t>
            </w:r>
          </w:p>
        </w:tc>
      </w:tr>
      <w:tr>
        <w:tc>
          <w:tcPr>
            <w:tcW w:type="dxa" w:w="1728"/>
          </w:tcPr>
          <w:p>
            <w:r>
              <w:rPr>
                <w:rFonts w:ascii="Calibri" w:hAnsi="Calibri"/>
                <w:sz w:val="22"/>
              </w:rPr>
              <w:t>FY2026 Free Cash Flow</w:t>
            </w:r>
          </w:p>
        </w:tc>
        <w:tc>
          <w:tcPr>
            <w:tcW w:type="dxa" w:w="1728"/>
          </w:tcPr>
          <w:p>
            <w:r>
              <w:rPr>
                <w:rFonts w:ascii="Calibri" w:hAnsi="Calibri"/>
                <w:sz w:val="22"/>
              </w:rPr>
              <w:t>$500M–$600M</w:t>
            </w:r>
          </w:p>
        </w:tc>
        <w:tc>
          <w:tcPr>
            <w:tcW w:type="dxa" w:w="1728"/>
          </w:tcPr>
          <w:p>
            <w:r>
              <w:rPr>
                <w:rFonts w:ascii="Calibri" w:hAnsi="Calibri"/>
                <w:sz w:val="22"/>
              </w:rPr>
              <w:t>—</w:t>
            </w:r>
          </w:p>
        </w:tc>
        <w:tc>
          <w:tcPr>
            <w:tcW w:type="dxa" w:w="1728"/>
          </w:tcPr>
          <w:p>
            <w:r>
              <w:rPr>
                <w:rFonts w:ascii="Calibri" w:hAnsi="Calibri"/>
                <w:sz w:val="22"/>
              </w:rPr>
              <w:t>$551M</w:t>
            </w:r>
          </w:p>
        </w:tc>
        <w:tc>
          <w:tcPr>
            <w:tcW w:type="dxa" w:w="1728"/>
          </w:tcPr>
          <w:p>
            <w:r>
              <w:rPr>
                <w:rFonts w:ascii="Calibri" w:hAnsi="Calibri"/>
                <w:sz w:val="22"/>
              </w:rPr>
              <w:t>Block VI/Columbia award (July 29) is a positive catalyst for H2 FCF; ~$1B H2 ramp required</w:t>
            </w:r>
          </w:p>
        </w:tc>
      </w:tr>
      <w:tr>
        <w:tc>
          <w:tcPr>
            <w:tcW w:type="dxa" w:w="1728"/>
          </w:tcPr>
          <w:p>
            <w:r>
              <w:rPr>
                <w:rFonts w:ascii="Calibri" w:hAnsi="Calibri"/>
                <w:sz w:val="22"/>
              </w:rPr>
              <w:t>Q2 2026 Shipbuilding Revenue</w:t>
            </w:r>
          </w:p>
        </w:tc>
        <w:tc>
          <w:tcPr>
            <w:tcW w:type="dxa" w:w="1728"/>
          </w:tcPr>
          <w:p>
            <w:r>
              <w:rPr>
                <w:rFonts w:ascii="Calibri" w:hAnsi="Calibri"/>
                <w:sz w:val="22"/>
              </w:rPr>
              <w:t>~$2.4B</w:t>
            </w:r>
          </w:p>
        </w:tc>
        <w:tc>
          <w:tcPr>
            <w:tcW w:type="dxa" w:w="1728"/>
          </w:tcPr>
          <w:p>
            <w:r>
              <w:rPr>
                <w:rFonts w:ascii="Calibri" w:hAnsi="Calibri"/>
                <w:sz w:val="22"/>
              </w:rPr>
              <w:t>—</w:t>
            </w:r>
          </w:p>
        </w:tc>
        <w:tc>
          <w:tcPr>
            <w:tcW w:type="dxa" w:w="1728"/>
          </w:tcPr>
          <w:p>
            <w:r>
              <w:rPr>
                <w:rFonts w:ascii="Calibri" w:hAnsi="Calibri"/>
                <w:sz w:val="22"/>
              </w:rPr>
              <w:t>$2.429B</w:t>
            </w:r>
          </w:p>
        </w:tc>
        <w:tc>
          <w:tcPr>
            <w:tcW w:type="dxa" w:w="1728"/>
          </w:tcPr>
          <w:p>
            <w:r>
              <w:rPr>
                <w:rFonts w:ascii="Calibri" w:hAnsi="Calibri"/>
                <w:sz w:val="22"/>
              </w:rPr>
              <w:t>Consensus in line with guide; management expects steady sequential ramp</w:t>
            </w:r>
          </w:p>
        </w:tc>
      </w:tr>
      <w:tr>
        <w:tc>
          <w:tcPr>
            <w:tcW w:type="dxa" w:w="1728"/>
          </w:tcPr>
          <w:p>
            <w:r>
              <w:rPr>
                <w:rFonts w:ascii="Calibri" w:hAnsi="Calibri"/>
                <w:sz w:val="22"/>
              </w:rPr>
              <w:t>Q2 2026 Shipbuilding Op. Margin</w:t>
            </w:r>
          </w:p>
        </w:tc>
        <w:tc>
          <w:tcPr>
            <w:tcW w:type="dxa" w:w="1728"/>
          </w:tcPr>
          <w:p>
            <w:r>
              <w:rPr>
                <w:rFonts w:ascii="Calibri" w:hAnsi="Calibri"/>
                <w:sz w:val="22"/>
              </w:rPr>
              <w:t>5.7%–6.0%</w:t>
            </w:r>
          </w:p>
        </w:tc>
        <w:tc>
          <w:tcPr>
            <w:tcW w:type="dxa" w:w="1728"/>
          </w:tcPr>
          <w:p>
            <w:r>
              <w:rPr>
                <w:rFonts w:ascii="Calibri" w:hAnsi="Calibri"/>
                <w:sz w:val="22"/>
              </w:rPr>
              <w:t>—</w:t>
            </w:r>
          </w:p>
        </w:tc>
        <w:tc>
          <w:tcPr>
            <w:tcW w:type="dxa" w:w="1728"/>
          </w:tcPr>
          <w:p>
            <w:r>
              <w:rPr>
                <w:rFonts w:ascii="Calibri" w:hAnsi="Calibri"/>
                <w:sz w:val="22"/>
              </w:rPr>
              <w:t>5.90%</w:t>
            </w:r>
          </w:p>
        </w:tc>
        <w:tc>
          <w:tcPr>
            <w:tcW w:type="dxa" w:w="1728"/>
          </w:tcPr>
          <w:p>
            <w:r>
              <w:rPr>
                <w:rFonts w:ascii="Calibri" w:hAnsi="Calibri"/>
                <w:sz w:val="22"/>
              </w:rPr>
              <w:t>Consensus at midpoint; LHA 8 and CVN adjustments remain risk</w:t>
            </w:r>
          </w:p>
        </w:tc>
      </w:tr>
      <w:tr>
        <w:tc>
          <w:tcPr>
            <w:tcW w:type="dxa" w:w="1728"/>
          </w:tcPr>
          <w:p>
            <w:r>
              <w:rPr>
                <w:rFonts w:ascii="Calibri" w:hAnsi="Calibri"/>
                <w:sz w:val="22"/>
              </w:rPr>
              <w:t>Q2 2026 Mission Tech. Op. Margin</w:t>
            </w:r>
          </w:p>
        </w:tc>
        <w:tc>
          <w:tcPr>
            <w:tcW w:type="dxa" w:w="1728"/>
          </w:tcPr>
          <w:p>
            <w:r>
              <w:rPr>
                <w:rFonts w:ascii="Calibri" w:hAnsi="Calibri"/>
                <w:sz w:val="22"/>
              </w:rPr>
              <w:t>~4.0%</w:t>
            </w:r>
          </w:p>
        </w:tc>
        <w:tc>
          <w:tcPr>
            <w:tcW w:type="dxa" w:w="1728"/>
          </w:tcPr>
          <w:p>
            <w:r>
              <w:rPr>
                <w:rFonts w:ascii="Calibri" w:hAnsi="Calibri"/>
                <w:sz w:val="22"/>
              </w:rPr>
              <w:t>—</w:t>
            </w:r>
          </w:p>
        </w:tc>
        <w:tc>
          <w:tcPr>
            <w:tcW w:type="dxa" w:w="1728"/>
          </w:tcPr>
          <w:p>
            <w:r>
              <w:rPr>
                <w:rFonts w:ascii="Calibri" w:hAnsi="Calibri"/>
                <w:sz w:val="22"/>
              </w:rPr>
              <w:t>4.26%</w:t>
            </w:r>
          </w:p>
        </w:tc>
        <w:tc>
          <w:tcPr>
            <w:tcW w:type="dxa" w:w="1728"/>
          </w:tcPr>
          <w:p>
            <w:r>
              <w:rPr>
                <w:rFonts w:ascii="Calibri" w:hAnsi="Calibri"/>
                <w:sz w:val="22"/>
              </w:rPr>
              <w:t>Consensus above guide; unmanned investment drag flagged explicitly by management</w:t>
            </w:r>
          </w:p>
        </w:tc>
      </w:tr>
      <w:tr>
        <w:tc>
          <w:tcPr>
            <w:tcW w:type="dxa" w:w="1728"/>
          </w:tcPr>
          <w:p>
            <w:r>
              <w:rPr>
                <w:rFonts w:ascii="Calibri" w:hAnsi="Calibri"/>
                <w:sz w:val="22"/>
              </w:rPr>
              <w:t>Q2 2026 Free Cash Flow</w:t>
            </w:r>
          </w:p>
        </w:tc>
        <w:tc>
          <w:tcPr>
            <w:tcW w:type="dxa" w:w="1728"/>
          </w:tcPr>
          <w:p>
            <w:r>
              <w:rPr>
                <w:rFonts w:ascii="Calibri" w:hAnsi="Calibri"/>
                <w:sz w:val="22"/>
              </w:rPr>
              <w:t>-$100M to +$100M</w:t>
            </w:r>
          </w:p>
        </w:tc>
        <w:tc>
          <w:tcPr>
            <w:tcW w:type="dxa" w:w="1728"/>
          </w:tcPr>
          <w:p>
            <w:r>
              <w:rPr>
                <w:rFonts w:ascii="Calibri" w:hAnsi="Calibri"/>
                <w:sz w:val="22"/>
              </w:rPr>
              <w:t>—</w:t>
            </w:r>
          </w:p>
        </w:tc>
        <w:tc>
          <w:tcPr>
            <w:tcW w:type="dxa" w:w="1728"/>
          </w:tcPr>
          <w:p>
            <w:r>
              <w:rPr>
                <w:rFonts w:ascii="Calibri" w:hAnsi="Calibri"/>
                <w:sz w:val="22"/>
              </w:rPr>
              <w:t>$72M</w:t>
            </w:r>
          </w:p>
        </w:tc>
        <w:tc>
          <w:tcPr>
            <w:tcW w:type="dxa" w:w="1728"/>
          </w:tcPr>
          <w:p>
            <w:r>
              <w:rPr>
                <w:rFonts w:ascii="Calibri" w:hAnsi="Calibri"/>
                <w:sz w:val="22"/>
              </w:rPr>
              <w:t>Consensus within guide range; contract award timing was key variable</w:t>
            </w:r>
          </w:p>
        </w:tc>
      </w:tr>
      <w:tr>
        <w:tc>
          <w:tcPr>
            <w:tcW w:type="dxa" w:w="1728"/>
          </w:tcPr>
          <w:p>
            <w:r>
              <w:rPr>
                <w:rFonts w:ascii="Calibri" w:hAnsi="Calibri"/>
                <w:sz w:val="22"/>
              </w:rPr>
              <w:t>Medium-Term Revenue Growth</w:t>
            </w:r>
          </w:p>
        </w:tc>
        <w:tc>
          <w:tcPr>
            <w:tcW w:type="dxa" w:w="1728"/>
          </w:tcPr>
          <w:p>
            <w:r>
              <w:rPr>
                <w:rFonts w:ascii="Calibri" w:hAnsi="Calibri"/>
                <w:sz w:val="22"/>
              </w:rPr>
              <w:t>~6% annually (4–6 years)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Battleship (Trump class) and FF(X) frigate are upside not in guidance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the Q1 print on both revenue and EPS, consistent with the stock's underperformance — but the gap is small and the Block VI contract award is a positive catalyst that was not in consensus. FY2026 FCF consensus is tracking near the midpoint of guidance, with H2 execution now the key variable.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~5 Days Post Q1 Earnings (May 12,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Total Revenue (Q2 2026)</w:t>
            </w:r>
          </w:p>
        </w:tc>
        <w:tc>
          <w:tcPr>
            <w:tcW w:type="dxa" w:w="1080"/>
          </w:tcPr>
          <w:p>
            <w:r>
              <w:rPr>
                <w:rFonts w:ascii="Calibri" w:hAnsi="Calibri"/>
                <w:sz w:val="22"/>
              </w:rPr>
              <w:t>$3.175B</w:t>
            </w:r>
          </w:p>
        </w:tc>
        <w:tc>
          <w:tcPr>
            <w:tcW w:type="dxa" w:w="1080"/>
          </w:tcPr>
          <w:p>
            <w:r>
              <w:rPr>
                <w:rFonts w:ascii="Calibri" w:hAnsi="Calibri"/>
                <w:sz w:val="22"/>
              </w:rPr>
              <w:t>$3.158B</w:t>
            </w:r>
          </w:p>
        </w:tc>
        <w:tc>
          <w:tcPr>
            <w:tcW w:type="dxa" w:w="1080"/>
          </w:tcPr>
          <w:p>
            <w:r>
              <w:rPr>
                <w:rFonts w:ascii="Calibri" w:hAnsi="Calibri"/>
                <w:b/>
                <w:color w:val="E5484D"/>
                <w:sz w:val="22"/>
              </w:rPr>
              <w:t>-0.5%</w:t>
            </w:r>
          </w:p>
        </w:tc>
        <w:tc>
          <w:tcPr>
            <w:tcW w:type="dxa" w:w="1080"/>
          </w:tcPr>
          <w:p>
            <w:r>
              <w:rPr>
                <w:rFonts w:ascii="Calibri" w:hAnsi="Calibri"/>
                <w:sz w:val="22"/>
              </w:rPr>
              <w:t>~$3.15B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w:t>
            </w:r>
          </w:p>
        </w:tc>
      </w:tr>
      <w:tr>
        <w:tc>
          <w:tcPr>
            <w:tcW w:type="dxa" w:w="1080"/>
          </w:tcPr>
          <w:p>
            <w:r>
              <w:rPr>
                <w:rFonts w:ascii="Calibri" w:hAnsi="Calibri"/>
                <w:sz w:val="22"/>
              </w:rPr>
              <w:t>Shipbuilding Revenue (Q2 2026)</w:t>
            </w:r>
          </w:p>
        </w:tc>
        <w:tc>
          <w:tcPr>
            <w:tcW w:type="dxa" w:w="1080"/>
          </w:tcPr>
          <w:p>
            <w:r>
              <w:rPr>
                <w:rFonts w:ascii="Calibri" w:hAnsi="Calibri"/>
                <w:sz w:val="22"/>
              </w:rPr>
              <w:t>$2.439B</w:t>
            </w:r>
          </w:p>
        </w:tc>
        <w:tc>
          <w:tcPr>
            <w:tcW w:type="dxa" w:w="1080"/>
          </w:tcPr>
          <w:p>
            <w:r>
              <w:rPr>
                <w:rFonts w:ascii="Calibri" w:hAnsi="Calibri"/>
                <w:sz w:val="22"/>
              </w:rPr>
              <w:t>$2.429B</w:t>
            </w:r>
          </w:p>
        </w:tc>
        <w:tc>
          <w:tcPr>
            <w:tcW w:type="dxa" w:w="1080"/>
          </w:tcPr>
          <w:p>
            <w:r>
              <w:rPr>
                <w:rFonts w:ascii="Calibri" w:hAnsi="Calibri"/>
                <w:b/>
                <w:color w:val="E5484D"/>
                <w:sz w:val="22"/>
              </w:rPr>
              <w:t>-0.4%</w:t>
            </w:r>
          </w:p>
        </w:tc>
        <w:tc>
          <w:tcPr>
            <w:tcW w:type="dxa" w:w="1080"/>
          </w:tcPr>
          <w:p>
            <w:r>
              <w:rPr>
                <w:rFonts w:ascii="Calibri" w:hAnsi="Calibri"/>
                <w:sz w:val="22"/>
              </w:rPr>
              <w:t>~$2.4B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w:t>
            </w:r>
          </w:p>
        </w:tc>
      </w:tr>
      <w:tr>
        <w:tc>
          <w:tcPr>
            <w:tcW w:type="dxa" w:w="1080"/>
          </w:tcPr>
          <w:p>
            <w:r>
              <w:rPr>
                <w:rFonts w:ascii="Calibri" w:hAnsi="Calibri"/>
                <w:sz w:val="22"/>
              </w:rPr>
              <w:t>Shipbuilding Op. Margin (Q2 2026)</w:t>
            </w:r>
          </w:p>
        </w:tc>
        <w:tc>
          <w:tcPr>
            <w:tcW w:type="dxa" w:w="1080"/>
          </w:tcPr>
          <w:p>
            <w:r>
              <w:rPr>
                <w:rFonts w:ascii="Calibri" w:hAnsi="Calibri"/>
                <w:sz w:val="22"/>
              </w:rPr>
              <w:t>5.93%</w:t>
            </w:r>
          </w:p>
        </w:tc>
        <w:tc>
          <w:tcPr>
            <w:tcW w:type="dxa" w:w="1080"/>
          </w:tcPr>
          <w:p>
            <w:r>
              <w:rPr>
                <w:rFonts w:ascii="Calibri" w:hAnsi="Calibri"/>
                <w:sz w:val="22"/>
              </w:rPr>
              <w:t>5.90%</w:t>
            </w:r>
          </w:p>
        </w:tc>
        <w:tc>
          <w:tcPr>
            <w:tcW w:type="dxa" w:w="1080"/>
          </w:tcPr>
          <w:p>
            <w:r>
              <w:rPr>
                <w:rFonts w:ascii="Calibri" w:hAnsi="Calibri"/>
                <w:b/>
                <w:color w:val="E5484D"/>
                <w:sz w:val="22"/>
              </w:rPr>
              <w:t>-3 bps</w:t>
            </w:r>
          </w:p>
        </w:tc>
        <w:tc>
          <w:tcPr>
            <w:tcW w:type="dxa" w:w="1080"/>
          </w:tcPr>
          <w:p>
            <w:r>
              <w:rPr>
                <w:rFonts w:ascii="Calibri" w:hAnsi="Calibri"/>
                <w:sz w:val="22"/>
              </w:rPr>
              <w:t>5.7%–6.0%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Op. EPS (Q2 2026)</w:t>
            </w:r>
          </w:p>
        </w:tc>
        <w:tc>
          <w:tcPr>
            <w:tcW w:type="dxa" w:w="1080"/>
          </w:tcPr>
          <w:p>
            <w:r>
              <w:rPr>
                <w:rFonts w:ascii="Calibri" w:hAnsi="Calibri"/>
                <w:sz w:val="22"/>
              </w:rPr>
              <w:t>$3.44</w:t>
            </w:r>
          </w:p>
        </w:tc>
        <w:tc>
          <w:tcPr>
            <w:tcW w:type="dxa" w:w="1080"/>
          </w:tcPr>
          <w:p>
            <w:r>
              <w:rPr>
                <w:rFonts w:ascii="Calibri" w:hAnsi="Calibri"/>
                <w:sz w:val="22"/>
              </w:rPr>
              <w:t>$3.32</w:t>
            </w:r>
          </w:p>
        </w:tc>
        <w:tc>
          <w:tcPr>
            <w:tcW w:type="dxa" w:w="1080"/>
          </w:tcPr>
          <w:p>
            <w:r>
              <w:rPr>
                <w:rFonts w:ascii="Calibri" w:hAnsi="Calibri"/>
                <w:b/>
                <w:color w:val="E5484D"/>
                <w:sz w:val="22"/>
              </w:rPr>
              <w:t>-3.5%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(FY2026)</w:t>
            </w:r>
          </w:p>
        </w:tc>
        <w:tc>
          <w:tcPr>
            <w:tcW w:type="dxa" w:w="1080"/>
          </w:tcPr>
          <w:p>
            <w:r>
              <w:rPr>
                <w:rFonts w:ascii="Calibri" w:hAnsi="Calibri"/>
                <w:sz w:val="22"/>
              </w:rPr>
              <w:t>$13.020B</w:t>
            </w:r>
          </w:p>
        </w:tc>
        <w:tc>
          <w:tcPr>
            <w:tcW w:type="dxa" w:w="1080"/>
          </w:tcPr>
          <w:p>
            <w:r>
              <w:rPr>
                <w:rFonts w:ascii="Calibri" w:hAnsi="Calibri"/>
                <w:sz w:val="22"/>
              </w:rPr>
              <w:t>$12.985B</w:t>
            </w:r>
          </w:p>
        </w:tc>
        <w:tc>
          <w:tcPr>
            <w:tcW w:type="dxa" w:w="1080"/>
          </w:tcPr>
          <w:p>
            <w:r>
              <w:rPr>
                <w:rFonts w:ascii="Calibri" w:hAnsi="Calibri"/>
                <w:b/>
                <w:color w:val="E5484D"/>
                <w:sz w:val="22"/>
              </w:rPr>
              <w:t>-0.3%</w:t>
            </w:r>
          </w:p>
        </w:tc>
        <w:tc>
          <w:tcPr>
            <w:tcW w:type="dxa" w:w="1080"/>
          </w:tcPr>
          <w:p>
            <w:r>
              <w:rPr>
                <w:rFonts w:ascii="Calibri" w:hAnsi="Calibri"/>
                <w:sz w:val="22"/>
              </w:rPr>
              <w:t>$12.7–13.1B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Shipbuilding Revenue (FY2026)</w:t>
            </w:r>
          </w:p>
        </w:tc>
        <w:tc>
          <w:tcPr>
            <w:tcW w:type="dxa" w:w="1080"/>
          </w:tcPr>
          <w:p>
            <w:r>
              <w:rPr>
                <w:rFonts w:ascii="Calibri" w:hAnsi="Calibri"/>
                <w:sz w:val="22"/>
              </w:rPr>
              <w:t>$10.018B</w:t>
            </w:r>
          </w:p>
        </w:tc>
        <w:tc>
          <w:tcPr>
            <w:tcW w:type="dxa" w:w="1080"/>
          </w:tcPr>
          <w:p>
            <w:r>
              <w:rPr>
                <w:rFonts w:ascii="Calibri" w:hAnsi="Calibri"/>
                <w:sz w:val="22"/>
              </w:rPr>
              <w:t>$10.007B</w:t>
            </w:r>
          </w:p>
        </w:tc>
        <w:tc>
          <w:tcPr>
            <w:tcW w:type="dxa" w:w="1080"/>
          </w:tcPr>
          <w:p>
            <w:r>
              <w:rPr>
                <w:rFonts w:ascii="Calibri" w:hAnsi="Calibri"/>
                <w:sz w:val="22"/>
              </w:rPr>
              <w:t>-0.1%</w:t>
            </w:r>
          </w:p>
        </w:tc>
        <w:tc>
          <w:tcPr>
            <w:tcW w:type="dxa" w:w="1080"/>
          </w:tcPr>
          <w:p>
            <w:r>
              <w:rPr>
                <w:rFonts w:ascii="Calibri" w:hAnsi="Calibri"/>
                <w:sz w:val="22"/>
              </w:rPr>
              <w:t>$9.7–9.9B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 above top of range</w:t>
            </w:r>
          </w:p>
        </w:tc>
      </w:tr>
      <w:tr>
        <w:tc>
          <w:tcPr>
            <w:tcW w:type="dxa" w:w="1080"/>
          </w:tcPr>
          <w:p>
            <w:r>
              <w:rPr>
                <w:rFonts w:ascii="Calibri" w:hAnsi="Calibri"/>
                <w:sz w:val="22"/>
              </w:rPr>
              <w:t>Op. EPS (FY2026)</w:t>
            </w:r>
          </w:p>
        </w:tc>
        <w:tc>
          <w:tcPr>
            <w:tcW w:type="dxa" w:w="1080"/>
          </w:tcPr>
          <w:p>
            <w:r>
              <w:rPr>
                <w:rFonts w:ascii="Calibri" w:hAnsi="Calibri"/>
                <w:sz w:val="22"/>
              </w:rPr>
              <w:t>$15.87</w:t>
            </w:r>
          </w:p>
        </w:tc>
        <w:tc>
          <w:tcPr>
            <w:tcW w:type="dxa" w:w="1080"/>
          </w:tcPr>
          <w:p>
            <w:r>
              <w:rPr>
                <w:rFonts w:ascii="Calibri" w:hAnsi="Calibri"/>
                <w:sz w:val="22"/>
              </w:rPr>
              <w:t>$15.32</w:t>
            </w:r>
          </w:p>
        </w:tc>
        <w:tc>
          <w:tcPr>
            <w:tcW w:type="dxa" w:w="1080"/>
          </w:tcPr>
          <w:p>
            <w:r>
              <w:rPr>
                <w:rFonts w:ascii="Calibri" w:hAnsi="Calibri"/>
                <w:b/>
                <w:color w:val="E5484D"/>
                <w:sz w:val="22"/>
              </w:rPr>
              <w:t>-3.5%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Free Cash Flow (FY2026)</w:t>
            </w:r>
          </w:p>
        </w:tc>
        <w:tc>
          <w:tcPr>
            <w:tcW w:type="dxa" w:w="1080"/>
          </w:tcPr>
          <w:p>
            <w:r>
              <w:rPr>
                <w:rFonts w:ascii="Calibri" w:hAnsi="Calibri"/>
                <w:sz w:val="22"/>
              </w:rPr>
              <w:t>$552M</w:t>
            </w:r>
          </w:p>
        </w:tc>
        <w:tc>
          <w:tcPr>
            <w:tcW w:type="dxa" w:w="1080"/>
          </w:tcPr>
          <w:p>
            <w:r>
              <w:rPr>
                <w:rFonts w:ascii="Calibri" w:hAnsi="Calibri"/>
                <w:sz w:val="22"/>
              </w:rPr>
              <w:t>$551M</w:t>
            </w:r>
          </w:p>
        </w:tc>
        <w:tc>
          <w:tcPr>
            <w:tcW w:type="dxa" w:w="1080"/>
          </w:tcPr>
          <w:p>
            <w:r>
              <w:rPr>
                <w:rFonts w:ascii="Calibri" w:hAnsi="Calibri"/>
                <w:sz w:val="22"/>
              </w:rPr>
              <w:t>-0.2%</w:t>
            </w:r>
          </w:p>
        </w:tc>
        <w:tc>
          <w:tcPr>
            <w:tcW w:type="dxa" w:w="1080"/>
          </w:tcPr>
          <w:p>
            <w:r>
              <w:rPr>
                <w:rFonts w:ascii="Calibri" w:hAnsi="Calibri"/>
                <w:sz w:val="22"/>
              </w:rPr>
              <w:t>$500–$600M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bl>
    <w:p>
      <w:r>
        <w:rPr>
          <w:rFonts w:ascii="Calibri" w:hAnsi="Calibri"/>
          <w:i/>
          <w:color w:val="525866"/>
          <w:sz w:val="22"/>
        </w:rPr>
        <w:t xml:space="preserve">Source: Visible Alpha consensus and actuals data. Baseline as of May 12, 2026 (~5 trading days post Q1 earnings). </w:t>
      </w:r>
      <w:r>
        <w:rPr>
          <w:rFonts w:ascii="Calibri" w:hAnsi="Calibri"/>
          <w:color w:val="525866"/>
          <w:sz w:val="22"/>
        </w:rPr>
        <w:t>Estimates have drifted modestly lower across all KPIs since the Q1 print, with EPS showing the largest revision (-3.5%) reflecting the higher Q2 tax rate (21% vs. 17% full-year) and margin uncertainty. Revenue estimates are essentially flat, consistent with management's explicit quarterly guide. The Block VI/Columbia contract award announced July 29 is a positive catalyst not yet reflected in consensus and should support FCF estimates for H2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HII has significantly underperformed both the defense sector (ITA) and the S&amp;P 500 since Q1 earnings — down ~14% vs. ITA +9.7% and SPY +0.8% — driven by multiple compression rather than estimate cuts, as the market penalized the guidance reaffirmation (vs. raise) and ongoing contract delay uncertainty. The stock's underperformance has reset the bar heading into Q2.</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HII vs. ITA (iShares U.S. Aerospace &amp; Defense ETF) vs. S&amp;P 500 — Indexed to 100 at May 5, 2026 (Q1 2026 Earnings Date). Source: Stock Price Data.</w:t>
      </w:r>
    </w:p>
    <w:p>
      <w:r>
        <w:rPr>
          <w:rFonts w:ascii="Calibri" w:hAnsi="Calibri"/>
          <w:b/>
          <w:color w:val="525866"/>
          <w:sz w:val="22"/>
        </w:rPr>
        <w:t xml:space="preserve">Sector ETF used: </w:t>
      </w:r>
      <w:r>
        <w:rPr>
          <w:rFonts w:ascii="Calibri" w:hAnsi="Calibri"/>
          <w:color w:val="525866"/>
          <w:sz w:val="22"/>
        </w:rPr>
        <w:t>ITA (iShares U.S. Aerospace &amp; Defense ETF) — appropriate for HII's defense shipbuilding sub-sector.</w:t>
      </w:r>
      <w:r>
        <w:rPr>
          <w:rFonts w:ascii="Calibri" w:hAnsi="Calibri"/>
          <w:b/>
          <w:color w:val="525866"/>
          <w:sz w:val="22"/>
        </w:rPr>
        <w:t xml:space="preserve"> Key events: </w:t>
      </w:r>
      <w:r>
        <w:rPr>
          <w:rFonts w:ascii="Calibri" w:hAnsi="Calibri"/>
          <w:color w:val="525866"/>
          <w:sz w:val="22"/>
        </w:rPr>
        <w:t>HII participated in the Bernstein Strategic Decisions Conference on May 28, 2026, where CEO Chris Kastner reaffirmed guidance and described Block VI progress as imminent. The stock declined sharply in late May through June as the contract award continued to slip, before partially recovering in late July as the award was announced on July 29. The ITA ETF significantly outperformed HII over the period, reflecting broad defense sector strength driven by record backlogs and budget tailwinds at peers (LMT, NOC, RTX, LHX) while HII's idiosyncratic contract delay weighed on relative performance.</w:t>
      </w:r>
    </w:p>
    <w:p>
      <w:r>
        <w:br w:type="page"/>
      </w:r>
    </w:p>
    <w:p>
      <w:pPr>
        <w:pStyle w:val="Heading2"/>
      </w:pPr>
      <w:r>
        <w:rPr>
          <w:rFonts w:ascii="Calibri" w:hAnsi="Calibri"/>
          <w:b/>
          <w:color w:val="3B4259"/>
          <w:sz w:val="28"/>
        </w:rPr>
        <w:t>6. Peer Commentaries — Read-Through (Last 60 Days, Q2 2026 Relevant)</w:t>
      </w:r>
    </w:p>
    <w:p>
      <w:r>
        <w:rPr>
          <w:rFonts w:ascii="Calibri" w:hAnsi="Calibri"/>
          <w:b/>
          <w:color w:val="525866"/>
          <w:sz w:val="22"/>
        </w:rPr>
        <w:t xml:space="preserve">Key Takeaway: </w:t>
      </w:r>
      <w:r>
        <w:rPr>
          <w:rFonts w:ascii="Calibri" w:hAnsi="Calibri"/>
          <w:color w:val="525866"/>
          <w:sz w:val="22"/>
        </w:rPr>
        <w:t>Peers reporting Q2 2026 results (NOC, LMT, RTX, LHX, TXT) paint a uniformly bullish defense demand picture — record backlogs, accelerating revenue growth, and bipartisan budget support — which is a strong read-through for HII's demand environment. The most directly relevant read-throughs are NOC's nuclear Navy propulsion growth commentary and LMT's submarine/undersea investment signals.</w:t>
      </w:r>
    </w:p>
    <w:p>
      <w:pPr>
        <w:pStyle w:val="Heading3"/>
      </w:pPr>
      <w:r>
        <w:rPr>
          <w:rFonts w:ascii="Calibri" w:hAnsi="Calibri"/>
          <w:b/>
          <w:color w:val="3B4259"/>
          <w:sz w:val="24"/>
        </w:rPr>
        <w:t>Northrop Grumman (NOC) — Q2 2026 Earnings (July 21, 2026)</w:t>
      </w:r>
    </w:p>
    <w:p>
      <w:r>
        <w:rPr>
          <w:rFonts w:ascii="Calibri" w:hAnsi="Calibri"/>
          <w:b/>
          <w:color w:val="525866"/>
          <w:sz w:val="22"/>
        </w:rPr>
        <w:t xml:space="preserve">Read-Through Relevance: </w:t>
      </w:r>
      <w:r>
        <w:rPr>
          <w:rFonts w:ascii="Calibri" w:hAnsi="Calibri"/>
          <w:color w:val="525866"/>
          <w:sz w:val="22"/>
        </w:rPr>
        <w:t>HIGH — NOC is HII's closest peer on nuclear Navy programs.</w:t>
      </w:r>
      <w:r>
        <w:rPr>
          <w:rFonts w:ascii="Calibri" w:hAnsi="Calibri"/>
          <w:color w:val="525866"/>
          <w:sz w:val="22"/>
        </w:rPr>
        <w:br/>
        <w:br/>
        <w:t xml:space="preserve">NOC reported record backlog of $105B (+17% YoY) and expects a full-year book-to-bill of at least 1.25x. Most directly relevant to HII: NOC highlighted that </w:t>
      </w:r>
      <w:r>
        <w:rPr>
          <w:rFonts w:ascii="Calibri" w:hAnsi="Calibri"/>
          <w:i/>
          <w:color w:val="525866"/>
          <w:sz w:val="22"/>
        </w:rPr>
        <w:t>"propulsion for the modernization of the nuclear Navy is the biggest growth driver in our marine business"</w:t>
      </w:r>
      <w:r>
        <w:rPr>
          <w:rFonts w:ascii="Calibri" w:hAnsi="Calibri"/>
          <w:color w:val="525866"/>
          <w:sz w:val="22"/>
        </w:rPr>
        <w:t xml:space="preserve"> and expects this to continue scaling throughout the decade. NOC is delivering first low-rate initial production units and scaling production. This validates HII's submarine throughput narrative and the urgency of the Block VI/Columbia contract awards. NOC also noted the FY2027 base budget request of $1.1 trillion (nearly +10% YoY) has strong bipartisan support, and a $67B supplemental request is under consideration — both positive for HII's program funding visibility. NOC's $7.6B Sentinel backlog increase and $20B in Q2 awards demonstrate the government's willingness to commit large, long-duration contracts, which bodes well for HII's own contract negotiations.</w:t>
      </w:r>
    </w:p>
    <w:p>
      <w:pPr>
        <w:pStyle w:val="Heading3"/>
      </w:pPr>
      <w:r>
        <w:rPr>
          <w:rFonts w:ascii="Calibri" w:hAnsi="Calibri"/>
          <w:b/>
          <w:color w:val="3B4259"/>
          <w:sz w:val="24"/>
        </w:rPr>
        <w:t>Lockheed Martin (LMT) — Q2 2026 Earnings (July 23, 2026)</w:t>
      </w:r>
    </w:p>
    <w:p>
      <w:r>
        <w:rPr>
          <w:rFonts w:ascii="Calibri" w:hAnsi="Calibri"/>
          <w:b/>
          <w:color w:val="525866"/>
          <w:sz w:val="22"/>
        </w:rPr>
        <w:t xml:space="preserve">Read-Through Relevance: </w:t>
      </w:r>
      <w:r>
        <w:rPr>
          <w:rFonts w:ascii="Calibri" w:hAnsi="Calibri"/>
          <w:color w:val="525866"/>
          <w:sz w:val="22"/>
        </w:rPr>
        <w:t>MEDIUM-HIGH — LMT's undersea and naval systems commentary is directly relevant.</w:t>
      </w:r>
      <w:r>
        <w:rPr>
          <w:rFonts w:ascii="Calibri" w:hAnsi="Calibri"/>
          <w:color w:val="525866"/>
          <w:sz w:val="22"/>
        </w:rPr>
        <w:br/>
        <w:br/>
        <w:t xml:space="preserve">LMT reported record backlog of $230B (+$64B YoY) with a 3.2x book-to-bill ratio, and raised full-year guidance across every metric (revenue now $79.75–81.75B, +8% YoY at midpoint vs. prior +5% guide). Key read-throughs for HII: (1) LMT signed an agreement to acquire Ultra Maritime to enhance </w:t>
      </w:r>
      <w:r>
        <w:rPr>
          <w:rFonts w:ascii="Calibri" w:hAnsi="Calibri"/>
          <w:i/>
          <w:color w:val="525866"/>
          <w:sz w:val="22"/>
        </w:rPr>
        <w:t>"advanced undersea sensing and autonomous sea drone capabilities, a domain where there is growing demand"</w:t>
      </w:r>
      <w:r>
        <w:rPr>
          <w:rFonts w:ascii="Calibri" w:hAnsi="Calibri"/>
          <w:color w:val="525866"/>
          <w:sz w:val="22"/>
        </w:rPr>
        <w:t xml:space="preserve"> — validating HII's unmanned underwater vehicle (UUV) investment thesis; (2) LMT is making progress on a new Titusville, FL facility for Trident II missile development, which is a Columbia-class submarine program component; (3) LMT's Conventional Prompt Strike program ($1.4B in contract modifications) is a joint Army/Navy sea-based hypersonic program that benefits from HII's submarine platform. LMT's broad guidance raise and accelerating H2 growth trajectory (high single to low double digits) is a positive read-through for defense demand broadly.</w:t>
      </w:r>
    </w:p>
    <w:p>
      <w:pPr>
        <w:pStyle w:val="Heading3"/>
      </w:pPr>
      <w:r>
        <w:rPr>
          <w:rFonts w:ascii="Calibri" w:hAnsi="Calibri"/>
          <w:b/>
          <w:color w:val="3B4259"/>
          <w:sz w:val="24"/>
        </w:rPr>
        <w:t>RTX (Raytheon Technologies) — Q2 2026 Earnings (July 23, 2026)</w:t>
      </w:r>
    </w:p>
    <w:p>
      <w:r>
        <w:rPr>
          <w:rFonts w:ascii="Calibri" w:hAnsi="Calibri"/>
          <w:b/>
          <w:color w:val="525866"/>
          <w:sz w:val="22"/>
        </w:rPr>
        <w:t xml:space="preserve">Read-Through Relevance: </w:t>
      </w:r>
      <w:r>
        <w:rPr>
          <w:rFonts w:ascii="Calibri" w:hAnsi="Calibri"/>
          <w:color w:val="525866"/>
          <w:sz w:val="22"/>
        </w:rPr>
        <w:t>MEDIUM — Defense budget and naval systems demand signals.</w:t>
      </w:r>
      <w:r>
        <w:rPr>
          <w:rFonts w:ascii="Calibri" w:hAnsi="Calibri"/>
          <w:color w:val="525866"/>
          <w:sz w:val="22"/>
        </w:rPr>
        <w:br/>
        <w:br/>
        <w:t xml:space="preserve">RTX reported record backlog of $289B (+22% YoY, +6% sequentially) with Raytheon alone booking nearly $20B in Q2 (book-to-bill of 2.4x). Raytheon's sales grew 18% organically in Q2, with margins expanding 100 bps YoY. Key read-throughs: (1) RTX noted the FY2027 base budget request of $1.1 trillion includes </w:t>
      </w:r>
      <w:r>
        <w:rPr>
          <w:rFonts w:ascii="Calibri" w:hAnsi="Calibri"/>
          <w:i/>
          <w:color w:val="525866"/>
          <w:sz w:val="22"/>
        </w:rPr>
        <w:t>"meaningful increases in funding for RTX priority programs such as Tomahawk, LTMS, and Standard Missile"</w:t>
      </w:r>
      <w:r>
        <w:rPr>
          <w:rFonts w:ascii="Calibri" w:hAnsi="Calibri"/>
          <w:color w:val="525866"/>
          <w:sz w:val="22"/>
        </w:rPr>
        <w:t xml:space="preserve"> — Tomahawk is a key payload for Virginia-class submarines, validating the strategic importance of HII's submarine production ramp; (2) RTX's Raytheon segment saw $5B+ in Patriot effector orders from international customers and $1.8B for AMRAAM, demonstrating the government's commitment to multi-year munitions frameworks that parallel HII's own contract structure; (3) RTX raised Raytheon's full-year sales growth outlook to high single to low double digits, consistent with the broad defense demand acceleration narrative.</w:t>
      </w:r>
    </w:p>
    <w:p>
      <w:pPr>
        <w:pStyle w:val="Heading3"/>
      </w:pPr>
      <w:r>
        <w:rPr>
          <w:rFonts w:ascii="Calibri" w:hAnsi="Calibri"/>
          <w:b/>
          <w:color w:val="3B4259"/>
          <w:sz w:val="24"/>
        </w:rPr>
        <w:t>L3Harris Technologies (LHX) — Q2 2026 Earnings (July 29, 2026)</w:t>
      </w:r>
    </w:p>
    <w:p>
      <w:r>
        <w:rPr>
          <w:rFonts w:ascii="Calibri" w:hAnsi="Calibri"/>
          <w:b/>
          <w:color w:val="525866"/>
          <w:sz w:val="22"/>
        </w:rPr>
        <w:t xml:space="preserve">Read-Through Relevance: </w:t>
      </w:r>
      <w:r>
        <w:rPr>
          <w:rFonts w:ascii="Calibri" w:hAnsi="Calibri"/>
          <w:color w:val="525866"/>
          <w:sz w:val="22"/>
        </w:rPr>
        <w:t>MEDIUM — Defense budget environment and unmanned systems demand.</w:t>
      </w:r>
      <w:r>
        <w:rPr>
          <w:rFonts w:ascii="Calibri" w:hAnsi="Calibri"/>
          <w:color w:val="525866"/>
          <w:sz w:val="22"/>
        </w:rPr>
        <w:br/>
        <w:br/>
        <w:t xml:space="preserve">LHX reported Q2 2026 with segment operating margin of 16% (+10 bps) and backlog of $42B. Key read-throughs: (1) LHX described demand signals as </w:t>
      </w:r>
      <w:r>
        <w:rPr>
          <w:rFonts w:ascii="Calibri" w:hAnsi="Calibri"/>
          <w:i/>
          <w:color w:val="525866"/>
          <w:sz w:val="22"/>
        </w:rPr>
        <w:t>"outstanding"</w:t>
      </w:r>
      <w:r>
        <w:rPr>
          <w:rFonts w:ascii="Calibri" w:hAnsi="Calibri"/>
          <w:color w:val="525866"/>
          <w:sz w:val="22"/>
        </w:rPr>
        <w:t xml:space="preserve"> with the Pentagon shifting conversations from delivery capability to </w:t>
      </w:r>
      <w:r>
        <w:rPr>
          <w:rFonts w:ascii="Calibri" w:hAnsi="Calibri"/>
          <w:i/>
          <w:color w:val="525866"/>
          <w:sz w:val="22"/>
        </w:rPr>
        <w:t>"how many can we produce and how fast we can go"</w:t>
      </w:r>
      <w:r>
        <w:rPr>
          <w:rFonts w:ascii="Calibri" w:hAnsi="Calibri"/>
          <w:color w:val="525866"/>
          <w:sz w:val="22"/>
        </w:rPr>
        <w:t xml:space="preserve"> — a sentiment that directly supports HII's throughput acceleration investment thesis; (2) LHX's missile business is projected to grow </w:t>
      </w:r>
      <w:r>
        <w:rPr>
          <w:rFonts w:ascii="Calibri" w:hAnsi="Calibri"/>
          <w:i/>
          <w:color w:val="525866"/>
          <w:sz w:val="22"/>
        </w:rPr>
        <w:t>"high teens over the next couple of years"</w:t>
      </w:r>
      <w:r>
        <w:rPr>
          <w:rFonts w:ascii="Calibri" w:hAnsi="Calibri"/>
          <w:color w:val="525866"/>
          <w:sz w:val="22"/>
        </w:rPr>
        <w:t xml:space="preserve"> with propulsion growing 20%+ — solid rocket motors are components of submarine-launched missiles; (3) LHX signed a $12B framework agreement for THAAD and PAC-3 production, demonstrating the government's willingness to commit to long-duration, large-value contracts — a positive precedent for HII's own Block VI/Columbia negotiations; (4) LHX noted the U.S. is on a </w:t>
      </w:r>
      <w:r>
        <w:rPr>
          <w:rFonts w:ascii="Calibri" w:hAnsi="Calibri"/>
          <w:i/>
          <w:color w:val="525866"/>
          <w:sz w:val="22"/>
        </w:rPr>
        <w:t>"wartime footing"</w:t>
      </w:r>
      <w:r>
        <w:rPr>
          <w:rFonts w:ascii="Calibri" w:hAnsi="Calibri"/>
          <w:color w:val="525866"/>
          <w:sz w:val="22"/>
        </w:rPr>
        <w:t xml:space="preserve"> with the highest defense budget in history expected, providing a strong macro tailwind for all defense shipbuilding programs.</w:t>
      </w:r>
    </w:p>
    <w:p>
      <w:pPr>
        <w:pStyle w:val="Heading3"/>
      </w:pPr>
      <w:r>
        <w:rPr>
          <w:rFonts w:ascii="Calibri" w:hAnsi="Calibri"/>
          <w:b/>
          <w:color w:val="3B4259"/>
          <w:sz w:val="24"/>
        </w:rPr>
        <w:t>Textron (TXT) — Q2 2026 Earnings (July 28, 2026)</w:t>
      </w:r>
    </w:p>
    <w:p>
      <w:r>
        <w:rPr>
          <w:rFonts w:ascii="Calibri" w:hAnsi="Calibri"/>
          <w:b/>
          <w:color w:val="525866"/>
          <w:sz w:val="22"/>
        </w:rPr>
        <w:t xml:space="preserve">Read-Through Relevance: </w:t>
      </w:r>
      <w:r>
        <w:rPr>
          <w:rFonts w:ascii="Calibri" w:hAnsi="Calibri"/>
          <w:color w:val="525866"/>
          <w:sz w:val="22"/>
        </w:rPr>
        <w:t>LOW-MEDIUM — Workforce and supply chain dynamics are relevant.</w:t>
      </w:r>
      <w:r>
        <w:rPr>
          <w:rFonts w:ascii="Calibri" w:hAnsi="Calibri"/>
          <w:color w:val="525866"/>
          <w:sz w:val="22"/>
        </w:rPr>
        <w:br/>
        <w:br/>
        <w:t xml:space="preserve">TXT's Q2 2026 results highlighted ongoing workforce challenges that are directly analogous to HII's situation: TXT noted that ~50% of its workforce has less than 5 years of experience (vs. &lt;30% pre-COVID) and that it </w:t>
      </w:r>
      <w:r>
        <w:rPr>
          <w:rFonts w:ascii="Calibri" w:hAnsi="Calibri"/>
          <w:i/>
          <w:color w:val="525866"/>
          <w:sz w:val="22"/>
        </w:rPr>
        <w:t>"takes about 5 to 7 years to generate an employee that has all the reps and sets to be able to get through the learning curve"</w:t>
      </w:r>
      <w:r>
        <w:rPr>
          <w:rFonts w:ascii="Calibri" w:hAnsi="Calibri"/>
          <w:color w:val="525866"/>
          <w:sz w:val="22"/>
        </w:rPr>
        <w:t xml:space="preserve"> — a dynamic HII has also cited as a headwind. TXT noted attrition has improved materially and returned to normalized levels, which is a positive read-through for HII's own workforce stabilization narrative. TXT also highlighted </w:t>
      </w:r>
      <w:r>
        <w:rPr>
          <w:rFonts w:ascii="Calibri" w:hAnsi="Calibri"/>
          <w:i/>
          <w:color w:val="525866"/>
          <w:sz w:val="22"/>
        </w:rPr>
        <w:t>"healthy commercial and military demand environments"</w:t>
      </w:r>
      <w:r>
        <w:rPr>
          <w:rFonts w:ascii="Calibri" w:hAnsi="Calibri"/>
          <w:color w:val="525866"/>
          <w:sz w:val="22"/>
        </w:rPr>
        <w:t xml:space="preserve"> and a favorable FY2027 defense budget request for its military franchises. The MV-75 Cheyenne program funding uncertainty (ATR process) is a TXT-specific issue with no direct HII read-through.</w:t>
      </w:r>
    </w:p>
    <w:p>
      <w:pPr>
        <w:pStyle w:val="Heading3"/>
      </w:pPr>
      <w:r>
        <w:rPr>
          <w:rFonts w:ascii="Calibri" w:hAnsi="Calibri"/>
          <w:b/>
          <w:color w:val="3B4259"/>
          <w:sz w:val="24"/>
        </w:rPr>
        <w:t>Bernstein Conference Read-Throughs (May 27–29, 2026)</w:t>
      </w:r>
    </w:p>
    <w:p>
      <w:r>
        <w:rPr>
          <w:rFonts w:ascii="Calibri" w:hAnsi="Calibri"/>
          <w:b/>
          <w:color w:val="525866"/>
          <w:sz w:val="22"/>
        </w:rPr>
        <w:t xml:space="preserve">NOC at Bernstein (May 28): </w:t>
      </w:r>
      <w:r>
        <w:rPr>
          <w:rFonts w:ascii="Calibri" w:hAnsi="Calibri"/>
          <w:color w:val="525866"/>
          <w:sz w:val="22"/>
        </w:rPr>
        <w:t>NOC described a "tremendous set of growth opportunities" and "mid-single-digit sales this year with acceleration into next," with the B-21 program on schedule and Sentinel making positive progress. NOC's aeronautics margins are targeting 10% as B-21 transitions from development to production — a margin trajectory parallel to HII's own pre/post-COVID contract crossover story. NOC's CapEx guidance of ~4.5% of sales in 2027–28 for B-21 production ramp mirrors HII's own 4–5% of sales CapEx guide.</w:t>
      </w:r>
      <w:r>
        <w:rPr>
          <w:rFonts w:ascii="Calibri" w:hAnsi="Calibri"/>
          <w:color w:val="525866"/>
          <w:sz w:val="22"/>
        </w:rPr>
        <w:br/>
        <w:br/>
      </w:r>
      <w:r>
        <w:rPr>
          <w:rFonts w:ascii="Calibri" w:hAnsi="Calibri"/>
          <w:b/>
          <w:color w:val="525866"/>
          <w:sz w:val="22"/>
        </w:rPr>
        <w:t xml:space="preserve">LMT at Bernstein (May 27): </w:t>
      </w:r>
      <w:r>
        <w:rPr>
          <w:rFonts w:ascii="Calibri" w:hAnsi="Calibri"/>
          <w:color w:val="525866"/>
          <w:sz w:val="22"/>
        </w:rPr>
        <w:t>LMT's CEO described the current opportunity set as "significant" and highlighted that the Trident II Fleet Ballistic Missile program is "going through another recapitalization and large growth curve right now" — this is a Columbia-class submarine program component and a direct positive read-through for HII's Newport News submarine work. LMT also noted that multi-year commercial framework agreements are being pursued across its portfolio, validating the contract structure HII is pursuing for Block VI and Columbia.</w:t>
      </w:r>
      <w:r>
        <w:rPr>
          <w:rFonts w:ascii="Calibri" w:hAnsi="Calibri"/>
          <w:color w:val="525866"/>
          <w:sz w:val="22"/>
        </w:rPr>
        <w:br/>
        <w:br/>
      </w:r>
      <w:r>
        <w:rPr>
          <w:rFonts w:ascii="Calibri" w:hAnsi="Calibri"/>
          <w:b/>
          <w:color w:val="525866"/>
          <w:sz w:val="22"/>
        </w:rPr>
        <w:t xml:space="preserve">RTX at Bernstein (May 29): </w:t>
      </w:r>
      <w:r>
        <w:rPr>
          <w:rFonts w:ascii="Calibri" w:hAnsi="Calibri"/>
          <w:color w:val="525866"/>
          <w:sz w:val="22"/>
        </w:rPr>
        <w:t>RTX highlighted that 48% of Raytheon's backlog is international and that framework agreements with the Pentagon cover Tomahawk, AMRAAM, and Standard Missile — all payloads for Virginia-class submarines. RTX's commentary on 12 consecutive quarters of material production growth and 150 new suppliers qualified in 2025 validates the defense industrial base expansion narrative that underpins HII's distributed shipbuilding strategy.</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July 29 Block VI / Columbia Build II contract award ($76.6B combined) is the single most important development since Q1 earnings — it removes the largest overhang on HII's 2026 guidance and unlocks H2 free cash flow. The print tomorrow will be the first opportunity for management to quantify the financial impact.</w:t>
      </w:r>
    </w:p>
    <w:p>
      <w:pPr>
        <w:pStyle w:val="ListBullet"/>
        <w:ind w:left="360" w:hanging="360"/>
      </w:pPr>
      <w:r>
        <w:rPr>
          <w:rFonts w:ascii="Calibri" w:hAnsi="Calibri"/>
          <w:b/>
          <w:color w:val="525866"/>
          <w:sz w:val="22"/>
        </w:rPr>
        <w:t xml:space="preserve">July 29, 2026 — </w:t>
      </w:r>
      <w:r>
        <w:rPr>
          <w:rFonts w:ascii="Calibri" w:hAnsi="Calibri"/>
          <w:b/>
          <w:color w:val="525866"/>
          <w:sz w:val="22"/>
        </w:rPr>
        <w:t xml:space="preserve">Block VI Virginia-class &amp; Build II Columbia-class Contract Awards ($76.6B combined): </w:t>
      </w:r>
      <w:r>
        <w:rPr>
          <w:rFonts w:ascii="Calibri" w:hAnsi="Calibri"/>
          <w:color w:val="525866"/>
          <w:sz w:val="22"/>
        </w:rPr>
        <w:t xml:space="preserve">HII's Newport News Shipbuilding was awarded contracts for 9 additional Block VI Virginia-class submarines (NNS as delivery yard for 6) and 5 additional Build II Columbia-class submarines (NNS constructing 6 module sections per boat), jointly with General Dynamics Electric Boat. Combined contract value is ~$76.6B including shipyard infrastructure funding. </w:t>
      </w:r>
      <w:r>
        <w:rPr>
          <w:rFonts w:ascii="Calibri" w:hAnsi="Calibri"/>
          <w:i/>
          <w:color w:val="525866"/>
          <w:sz w:val="22"/>
        </w:rPr>
        <w:t xml:space="preserve">Implication: </w:t>
      </w:r>
      <w:r>
        <w:rPr>
          <w:rFonts w:ascii="Calibri" w:hAnsi="Calibri"/>
          <w:i/>
          <w:color w:val="525866"/>
          <w:sz w:val="22"/>
        </w:rPr>
        <w:t>This is the single most important catalyst for HII's 2026 guidance — management had explicitly stated the award was a prerequisite for H2 FCF generation and production sequencing. The award eliminates the largest uncertainty in the stock and should drive meaningful working capital inflows in H2. Management will likely provide updated FCF and margin commentary on the Q2 call.</w:t>
      </w:r>
    </w:p>
    <w:p>
      <w:pPr>
        <w:pStyle w:val="ListBullet"/>
        <w:ind w:left="360" w:hanging="360"/>
      </w:pPr>
      <w:r>
        <w:rPr>
          <w:rFonts w:ascii="Calibri" w:hAnsi="Calibri"/>
          <w:b/>
          <w:color w:val="525866"/>
          <w:sz w:val="22"/>
        </w:rPr>
        <w:t xml:space="preserve">May 28, 2026 — </w:t>
      </w:r>
      <w:r>
        <w:rPr>
          <w:rFonts w:ascii="Calibri" w:hAnsi="Calibri"/>
          <w:b/>
          <w:color w:val="525866"/>
          <w:sz w:val="22"/>
        </w:rPr>
        <w:t xml:space="preserve">Bernstein Strategic Decisions Conference: </w:t>
      </w:r>
      <w:r>
        <w:rPr>
          <w:rFonts w:ascii="Calibri" w:hAnsi="Calibri"/>
          <w:color w:val="525866"/>
          <w:sz w:val="22"/>
        </w:rPr>
        <w:t xml:space="preserve">CEO Chris Kastner participated and reaffirmed all FY2026 guidance elements. Described Block VI as "very, very close" and going through government approval processes. Reiterated confidence in 15% throughput improvement target for 2026 and the 2027 pre/post-COVID contract crossover as the key margin inflection catalyst. </w:t>
      </w:r>
      <w:r>
        <w:rPr>
          <w:rFonts w:ascii="Calibri" w:hAnsi="Calibri"/>
          <w:i/>
          <w:color w:val="525866"/>
          <w:sz w:val="22"/>
        </w:rPr>
        <w:t xml:space="preserve">Implication: </w:t>
      </w:r>
      <w:r>
        <w:rPr>
          <w:rFonts w:ascii="Calibri" w:hAnsi="Calibri"/>
          <w:i/>
          <w:color w:val="525866"/>
          <w:sz w:val="22"/>
        </w:rPr>
        <w:t>No guidance change; tone was measured but confident. The conference provided no new financial information but reinforced management's conviction in the medium-term growth narrative.</w:t>
      </w:r>
    </w:p>
    <w:p>
      <w:pPr>
        <w:pStyle w:val="ListBullet"/>
        <w:ind w:left="360" w:hanging="360"/>
      </w:pPr>
      <w:r>
        <w:rPr>
          <w:rFonts w:ascii="Calibri" w:hAnsi="Calibri"/>
          <w:b/>
          <w:color w:val="525866"/>
          <w:sz w:val="22"/>
        </w:rPr>
        <w:t xml:space="preserve">May 5, 2026 — </w:t>
      </w:r>
      <w:r>
        <w:rPr>
          <w:rFonts w:ascii="Calibri" w:hAnsi="Calibri"/>
          <w:b/>
          <w:color w:val="525866"/>
          <w:sz w:val="22"/>
        </w:rPr>
        <w:t xml:space="preserve">Q1 2026 Earnings — Beat on Revenue, Guidance Reaffirmed (Not Raised): </w:t>
      </w:r>
      <w:r>
        <w:rPr>
          <w:rFonts w:ascii="Calibri" w:hAnsi="Calibri"/>
          <w:color w:val="525866"/>
          <w:sz w:val="22"/>
        </w:rPr>
        <w:t xml:space="preserve">HII reported Q1 revenue of $3.1B (+13.4% YoY) and shipbuilding revenue of $2.4B (modestly ahead of $2.3B guide). Operating EPS of $3.79 was in line with prior year. Guidance reaffirmed across all metrics. Stock fell meaningfully post-print as investors expected a guidance raise. </w:t>
      </w:r>
      <w:r>
        <w:rPr>
          <w:rFonts w:ascii="Calibri" w:hAnsi="Calibri"/>
          <w:i/>
          <w:color w:val="525866"/>
          <w:sz w:val="22"/>
        </w:rPr>
        <w:t xml:space="preserve">Implication: </w:t>
      </w:r>
      <w:r>
        <w:rPr>
          <w:rFonts w:ascii="Calibri" w:hAnsi="Calibri"/>
          <w:i/>
          <w:color w:val="525866"/>
          <w:sz w:val="22"/>
        </w:rPr>
        <w:t>The negative stock reaction despite the beat set up the current underperformance vs. peers. The Q2 print is an opportunity to demonstrate the H2 ramp is on track.</w:t>
      </w:r>
    </w:p>
    <w:p>
      <w:pPr>
        <w:pStyle w:val="ListBullet"/>
        <w:ind w:left="360" w:hanging="360"/>
      </w:pPr>
      <w:r>
        <w:rPr>
          <w:rFonts w:ascii="Calibri" w:hAnsi="Calibri"/>
          <w:b/>
          <w:color w:val="525866"/>
          <w:sz w:val="22"/>
        </w:rPr>
        <w:t xml:space="preserve">FY2027 Defense Budget Request (April 2026): </w:t>
      </w:r>
      <w:r>
        <w:rPr>
          <w:rFonts w:ascii="Calibri" w:hAnsi="Calibri"/>
          <w:color w:val="525866"/>
          <w:sz w:val="22"/>
        </w:rPr>
        <w:t xml:space="preserve">President submitted a top-level FY2027 budget request funding 2 amphibious ships (LPD 34, LHA 10), 1 DDG 51, 2 Block VI Virginia-class submarines, 1 Columbia-class submarine, the first FF(X) frigate, continued Ford-class carrier funding, and initial advanced procurement for the Trump-class battleship (USS Defiant). </w:t>
      </w:r>
      <w:r>
        <w:rPr>
          <w:rFonts w:ascii="Calibri" w:hAnsi="Calibri"/>
          <w:i/>
          <w:color w:val="525866"/>
          <w:sz w:val="22"/>
        </w:rPr>
        <w:t xml:space="preserve">Implication: </w:t>
      </w:r>
      <w:r>
        <w:rPr>
          <w:rFonts w:ascii="Calibri" w:hAnsi="Calibri"/>
          <w:i/>
          <w:color w:val="525866"/>
          <w:sz w:val="22"/>
        </w:rPr>
        <w:t>Broad bipartisan support for HII's core programs. The battleship and frigate programs represent meaningful upside to medium-term guidance not yet included in consensus.</w:t>
      </w:r>
    </w:p>
    <w:p>
      <w:pPr>
        <w:pStyle w:val="ListBullet"/>
        <w:ind w:left="360" w:hanging="360"/>
      </w:pPr>
      <w:r>
        <w:rPr>
          <w:rFonts w:ascii="Calibri" w:hAnsi="Calibri"/>
          <w:b/>
          <w:color w:val="525866"/>
          <w:sz w:val="22"/>
        </w:rPr>
        <w:t xml:space="preserve">February 2026 — </w:t>
      </w:r>
      <w:r>
        <w:rPr>
          <w:rFonts w:ascii="Calibri" w:hAnsi="Calibri"/>
          <w:b/>
          <w:color w:val="525866"/>
          <w:sz w:val="22"/>
        </w:rPr>
        <w:t xml:space="preserve">FY2026 Defense Appropriations Finalized: </w:t>
      </w:r>
      <w:r>
        <w:rPr>
          <w:rFonts w:ascii="Calibri" w:hAnsi="Calibri"/>
          <w:color w:val="525866"/>
          <w:sz w:val="22"/>
        </w:rPr>
        <w:t xml:space="preserve">Congress finalized the FY2026 Consolidated Appropriations Act with funding for CVNs 80 and 81, advanced procurement for CVN 82, CVN 74 RCOH, Virginia-class and Columbia-class programs, DDG 51 advanced procurement, and long-lead materials for the new frigate program. </w:t>
      </w:r>
      <w:r>
        <w:rPr>
          <w:rFonts w:ascii="Calibri" w:hAnsi="Calibri"/>
          <w:i/>
          <w:color w:val="525866"/>
          <w:sz w:val="22"/>
        </w:rPr>
        <w:t xml:space="preserve">Implication: </w:t>
      </w:r>
      <w:r>
        <w:rPr>
          <w:rFonts w:ascii="Calibri" w:hAnsi="Calibri"/>
          <w:i/>
          <w:color w:val="525866"/>
          <w:sz w:val="22"/>
        </w:rPr>
        <w:t>Full program funding confirmed; no continuing resolution risk for HII's core programs in 2026.</w:t>
      </w:r>
    </w:p>
    <w:p>
      <w:pPr>
        <w:pStyle w:val="ListBullet"/>
        <w:ind w:left="360" w:hanging="360"/>
      </w:pPr>
      <w:r>
        <w:rPr>
          <w:rFonts w:ascii="Calibri" w:hAnsi="Calibri"/>
          <w:b/>
          <w:color w:val="525866"/>
          <w:sz w:val="22"/>
        </w:rPr>
        <w:t xml:space="preserve">Q1 2026 — </w:t>
      </w:r>
      <w:r>
        <w:rPr>
          <w:rFonts w:ascii="Calibri" w:hAnsi="Calibri"/>
          <w:b/>
          <w:color w:val="525866"/>
          <w:sz w:val="22"/>
        </w:rPr>
        <w:t xml:space="preserve">Collective Bargaining Agreements Ratified at Ingalls (through 2031): </w:t>
      </w:r>
      <w:r>
        <w:rPr>
          <w:rFonts w:ascii="Calibri" w:hAnsi="Calibri"/>
          <w:color w:val="525866"/>
          <w:sz w:val="22"/>
        </w:rPr>
        <w:t xml:space="preserve">HII ratified new CBAs at Ingalls Shipbuilding extending through 2031, providing labor cost certainty for the next five years. </w:t>
      </w:r>
      <w:r>
        <w:rPr>
          <w:rFonts w:ascii="Calibri" w:hAnsi="Calibri"/>
          <w:i/>
          <w:color w:val="525866"/>
          <w:sz w:val="22"/>
        </w:rPr>
        <w:t xml:space="preserve">Implication: </w:t>
      </w:r>
      <w:r>
        <w:rPr>
          <w:rFonts w:ascii="Calibri" w:hAnsi="Calibri"/>
          <w:i/>
          <w:color w:val="525866"/>
          <w:sz w:val="22"/>
        </w:rPr>
        <w:t>Reduces labor disruption risk and supports the workforce stability narrative critical to throughput improvement targets.</w:t>
      </w:r>
    </w:p>
    <w:p>
      <w:pPr>
        <w:pStyle w:val="ListBullet"/>
        <w:ind w:left="360" w:hanging="360"/>
      </w:pPr>
      <w:r>
        <w:rPr>
          <w:rFonts w:ascii="Calibri" w:hAnsi="Calibri"/>
          <w:b/>
          <w:color w:val="525866"/>
          <w:sz w:val="22"/>
        </w:rPr>
        <w:t xml:space="preserve">Q1 2026 — </w:t>
      </w:r>
      <w:r>
        <w:rPr>
          <w:rFonts w:ascii="Calibri" w:hAnsi="Calibri"/>
          <w:b/>
          <w:color w:val="525866"/>
          <w:sz w:val="22"/>
        </w:rPr>
        <w:t xml:space="preserve">CVN 79 (John F. Kennedy) Builder's Sea Trials Completed: </w:t>
      </w:r>
      <w:r>
        <w:rPr>
          <w:rFonts w:ascii="Calibri" w:hAnsi="Calibri"/>
          <w:color w:val="525866"/>
          <w:sz w:val="22"/>
        </w:rPr>
        <w:t xml:space="preserve">Newport News completed builder's sea trials for CVN 79, with delivery expected late 2026 or early 2027 (second trials in summer 2026). </w:t>
      </w:r>
      <w:r>
        <w:rPr>
          <w:rFonts w:ascii="Calibri" w:hAnsi="Calibri"/>
          <w:i/>
          <w:color w:val="525866"/>
          <w:sz w:val="22"/>
        </w:rPr>
        <w:t xml:space="preserve">Implication: </w:t>
      </w:r>
      <w:r>
        <w:rPr>
          <w:rFonts w:ascii="Calibri" w:hAnsi="Calibri"/>
          <w:i/>
          <w:color w:val="525866"/>
          <w:sz w:val="22"/>
        </w:rPr>
        <w:t>CVN 79 delivery is a key FCF catalyst for 2026/2027. Progress on trials is on track.</w:t>
      </w:r>
    </w:p>
    <w:p>
      <w:pPr>
        <w:pStyle w:val="ListBullet"/>
        <w:ind w:left="360" w:hanging="360"/>
      </w:pPr>
      <w:r>
        <w:rPr>
          <w:rFonts w:ascii="Calibri" w:hAnsi="Calibri"/>
          <w:b/>
          <w:color w:val="525866"/>
          <w:sz w:val="22"/>
        </w:rPr>
        <w:t xml:space="preserve">Ongoing — </w:t>
      </w:r>
      <w:r>
        <w:rPr>
          <w:rFonts w:ascii="Calibri" w:hAnsi="Calibri"/>
          <w:b/>
          <w:color w:val="525866"/>
          <w:sz w:val="22"/>
        </w:rPr>
        <w:t xml:space="preserve">Unmanned Systems Investment Acceleration: </w:t>
      </w:r>
      <w:r>
        <w:rPr>
          <w:rFonts w:ascii="Calibri" w:hAnsi="Calibri"/>
          <w:color w:val="525866"/>
          <w:sz w:val="22"/>
        </w:rPr>
        <w:t xml:space="preserve">HII completed expansion of its UK unmanned operations facility and was selected to compete on the $25.4B ATSP5 microelectronics contract. The Odyssey autonomy platform (combining SIS and Hydroid suites) is being extended with AI partners including Shield AI. </w:t>
      </w:r>
      <w:r>
        <w:rPr>
          <w:rFonts w:ascii="Calibri" w:hAnsi="Calibri"/>
          <w:i/>
          <w:color w:val="525866"/>
          <w:sz w:val="22"/>
        </w:rPr>
        <w:t xml:space="preserve">Implication: </w:t>
      </w:r>
      <w:r>
        <w:rPr>
          <w:rFonts w:ascii="Calibri" w:hAnsi="Calibri"/>
          <w:i/>
          <w:color w:val="525866"/>
          <w:sz w:val="22"/>
        </w:rPr>
        <w:t>Unmanned systems are not expected to be material to 2026 revenue but represent a medium-term growth option. Mission Technologies margin drag from these investments (~4% Q2 guide) is a known headwind.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since Q1 earnings. All transactions are routine equity award grants (code A) or a single small open-market sale by the Chief HR Officer in late May. The absence of discretionary buying at depressed prices is notable but not alarming given the stock's ~14% decline since earnings — insiders appear to be holding rather than adding.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Hughes, Edmond E. Jr.</w:t>
            </w:r>
          </w:p>
        </w:tc>
        <w:tc>
          <w:tcPr>
            <w:tcW w:type="dxa" w:w="1440"/>
          </w:tcPr>
          <w:p>
            <w:r>
              <w:rPr>
                <w:rFonts w:ascii="Calibri" w:hAnsi="Calibri"/>
                <w:sz w:val="22"/>
              </w:rPr>
              <w:t>EVP &amp; Chief HR Officer</w:t>
            </w:r>
          </w:p>
        </w:tc>
        <w:tc>
          <w:tcPr>
            <w:tcW w:type="dxa" w:w="1440"/>
          </w:tcPr>
          <w:p>
            <w:r>
              <w:rPr>
                <w:rFonts w:ascii="Calibri" w:hAnsi="Calibri"/>
                <w:b/>
                <w:color w:val="E5484D"/>
                <w:sz w:val="22"/>
              </w:rPr>
              <w:t>Open Market Sale</w:t>
            </w:r>
          </w:p>
        </w:tc>
        <w:tc>
          <w:tcPr>
            <w:tcW w:type="dxa" w:w="1440"/>
          </w:tcPr>
          <w:p>
            <w:r>
              <w:rPr>
                <w:rFonts w:ascii="Calibri" w:hAnsi="Calibri"/>
                <w:sz w:val="22"/>
              </w:rPr>
              <w:t>3,500 shares (~$1.1M at ~$320)</w:t>
            </w:r>
          </w:p>
        </w:tc>
        <w:tc>
          <w:tcPr>
            <w:tcW w:type="dxa" w:w="1440"/>
          </w:tcPr>
          <w:p>
            <w:r>
              <w:rPr>
                <w:rFonts w:ascii="Calibri" w:hAnsi="Calibri"/>
                <w:sz w:val="22"/>
              </w:rPr>
              <w:t>May 28, 2026</w:t>
            </w:r>
          </w:p>
        </w:tc>
        <w:tc>
          <w:tcPr>
            <w:tcW w:type="dxa" w:w="1440"/>
          </w:tcPr>
          <w:p>
            <w:r>
              <w:rPr>
                <w:rFonts w:ascii="Calibri" w:hAnsi="Calibri"/>
                <w:sz w:val="22"/>
              </w:rPr>
              <w:t>Discretionary sale; no 10b5-1 plan indicated. Sold near post-earnings high (~$320 range).</w:t>
            </w:r>
          </w:p>
        </w:tc>
      </w:tr>
      <w:tr>
        <w:tc>
          <w:tcPr>
            <w:tcW w:type="dxa" w:w="1440"/>
          </w:tcPr>
          <w:p>
            <w:r>
              <w:rPr>
                <w:rFonts w:ascii="Calibri" w:hAnsi="Calibri"/>
                <w:sz w:val="22"/>
              </w:rPr>
              <w:t>Kastner, Christopher D.</w:t>
            </w:r>
          </w:p>
        </w:tc>
        <w:tc>
          <w:tcPr>
            <w:tcW w:type="dxa" w:w="1440"/>
          </w:tcPr>
          <w:p>
            <w:r>
              <w:rPr>
                <w:rFonts w:ascii="Calibri" w:hAnsi="Calibri"/>
                <w:sz w:val="22"/>
              </w:rPr>
              <w:t>President &amp; CEO</w:t>
            </w:r>
          </w:p>
        </w:tc>
        <w:tc>
          <w:tcPr>
            <w:tcW w:type="dxa" w:w="1440"/>
          </w:tcPr>
          <w:p>
            <w:r>
              <w:rPr>
                <w:rFonts w:ascii="Calibri" w:hAnsi="Calibri"/>
                <w:sz w:val="22"/>
              </w:rPr>
              <w:t>Equity Award Grant (A)</w:t>
            </w:r>
          </w:p>
        </w:tc>
        <w:tc>
          <w:tcPr>
            <w:tcW w:type="dxa" w:w="1440"/>
          </w:tcPr>
          <w:p>
            <w:r>
              <w:rPr>
                <w:rFonts w:ascii="Calibri" w:hAnsi="Calibri"/>
                <w:sz w:val="22"/>
              </w:rPr>
              <w:t>86.0 RSRs</w:t>
            </w:r>
          </w:p>
        </w:tc>
        <w:tc>
          <w:tcPr>
            <w:tcW w:type="dxa" w:w="1440"/>
          </w:tcPr>
          <w:p>
            <w:r>
              <w:rPr>
                <w:rFonts w:ascii="Calibri" w:hAnsi="Calibri"/>
                <w:sz w:val="22"/>
              </w:rPr>
              <w:t>June 12, 2026</w:t>
            </w:r>
          </w:p>
        </w:tc>
        <w:tc>
          <w:tcPr>
            <w:tcW w:type="dxa" w:w="1440"/>
          </w:tcPr>
          <w:p>
            <w:r>
              <w:rPr>
                <w:rFonts w:ascii="Calibri" w:hAnsi="Calibri"/>
                <w:sz w:val="22"/>
              </w:rPr>
              <w:t>Routine annual restricted stock rights grant; not a market transaction.</w:t>
            </w:r>
          </w:p>
        </w:tc>
      </w:tr>
      <w:tr>
        <w:tc>
          <w:tcPr>
            <w:tcW w:type="dxa" w:w="1440"/>
          </w:tcPr>
          <w:p>
            <w:r>
              <w:rPr>
                <w:rFonts w:ascii="Calibri" w:hAnsi="Calibri"/>
                <w:sz w:val="22"/>
              </w:rPr>
              <w:t>Stiehle, Thomas E.</w:t>
            </w:r>
          </w:p>
        </w:tc>
        <w:tc>
          <w:tcPr>
            <w:tcW w:type="dxa" w:w="1440"/>
          </w:tcPr>
          <w:p>
            <w:r>
              <w:rPr>
                <w:rFonts w:ascii="Calibri" w:hAnsi="Calibri"/>
                <w:sz w:val="22"/>
              </w:rPr>
              <w:t>EVP &amp; CFO</w:t>
            </w:r>
          </w:p>
        </w:tc>
        <w:tc>
          <w:tcPr>
            <w:tcW w:type="dxa" w:w="1440"/>
          </w:tcPr>
          <w:p>
            <w:r>
              <w:rPr>
                <w:rFonts w:ascii="Calibri" w:hAnsi="Calibri"/>
                <w:sz w:val="22"/>
              </w:rPr>
              <w:t>Equity Award Grant (A)</w:t>
            </w:r>
          </w:p>
        </w:tc>
        <w:tc>
          <w:tcPr>
            <w:tcW w:type="dxa" w:w="1440"/>
          </w:tcPr>
          <w:p>
            <w:r>
              <w:rPr>
                <w:rFonts w:ascii="Calibri" w:hAnsi="Calibri"/>
                <w:sz w:val="22"/>
              </w:rPr>
              <w:t>18.4 RSRs</w:t>
            </w:r>
          </w:p>
        </w:tc>
        <w:tc>
          <w:tcPr>
            <w:tcW w:type="dxa" w:w="1440"/>
          </w:tcPr>
          <w:p>
            <w:r>
              <w:rPr>
                <w:rFonts w:ascii="Calibri" w:hAnsi="Calibri"/>
                <w:sz w:val="22"/>
              </w:rPr>
              <w:t>June 12, 2026</w:t>
            </w:r>
          </w:p>
        </w:tc>
        <w:tc>
          <w:tcPr>
            <w:tcW w:type="dxa" w:w="1440"/>
          </w:tcPr>
          <w:p>
            <w:r>
              <w:rPr>
                <w:rFonts w:ascii="Calibri" w:hAnsi="Calibri"/>
                <w:sz w:val="22"/>
              </w:rPr>
              <w:t>Routine annual restricted stock rights grant; not a market transaction.</w:t>
            </w:r>
          </w:p>
        </w:tc>
      </w:tr>
      <w:tr>
        <w:tc>
          <w:tcPr>
            <w:tcW w:type="dxa" w:w="1440"/>
          </w:tcPr>
          <w:p>
            <w:r>
              <w:rPr>
                <w:rFonts w:ascii="Calibri" w:hAnsi="Calibri"/>
                <w:sz w:val="22"/>
              </w:rPr>
              <w:t>Wilkinson, Kara R.</w:t>
            </w:r>
          </w:p>
        </w:tc>
        <w:tc>
          <w:tcPr>
            <w:tcW w:type="dxa" w:w="1440"/>
          </w:tcPr>
          <w:p>
            <w:r>
              <w:rPr>
                <w:rFonts w:ascii="Calibri" w:hAnsi="Calibri"/>
                <w:sz w:val="22"/>
              </w:rPr>
              <w:t>EVP &amp; President, Newport News</w:t>
            </w:r>
          </w:p>
        </w:tc>
        <w:tc>
          <w:tcPr>
            <w:tcW w:type="dxa" w:w="1440"/>
          </w:tcPr>
          <w:p>
            <w:r>
              <w:rPr>
                <w:rFonts w:ascii="Calibri" w:hAnsi="Calibri"/>
                <w:sz w:val="22"/>
              </w:rPr>
              <w:t>Equity Award Grant (A)</w:t>
            </w:r>
          </w:p>
        </w:tc>
        <w:tc>
          <w:tcPr>
            <w:tcW w:type="dxa" w:w="1440"/>
          </w:tcPr>
          <w:p>
            <w:r>
              <w:rPr>
                <w:rFonts w:ascii="Calibri" w:hAnsi="Calibri"/>
                <w:sz w:val="22"/>
              </w:rPr>
              <w:t>15.2 RSRs</w:t>
            </w:r>
          </w:p>
        </w:tc>
        <w:tc>
          <w:tcPr>
            <w:tcW w:type="dxa" w:w="1440"/>
          </w:tcPr>
          <w:p>
            <w:r>
              <w:rPr>
                <w:rFonts w:ascii="Calibri" w:hAnsi="Calibri"/>
                <w:sz w:val="22"/>
              </w:rPr>
              <w:t>June 12, 2026</w:t>
            </w:r>
          </w:p>
        </w:tc>
        <w:tc>
          <w:tcPr>
            <w:tcW w:type="dxa" w:w="1440"/>
          </w:tcPr>
          <w:p>
            <w:r>
              <w:rPr>
                <w:rFonts w:ascii="Calibri" w:hAnsi="Calibri"/>
                <w:sz w:val="22"/>
              </w:rPr>
              <w:t>Routine annual restricted stock rights grant; not a market transaction.</w:t>
            </w:r>
          </w:p>
        </w:tc>
      </w:tr>
      <w:tr>
        <w:tc>
          <w:tcPr>
            <w:tcW w:type="dxa" w:w="1440"/>
          </w:tcPr>
          <w:p>
            <w:r>
              <w:rPr>
                <w:rFonts w:ascii="Calibri" w:hAnsi="Calibri"/>
                <w:sz w:val="22"/>
              </w:rPr>
              <w:t>Blanchette, Brian D.</w:t>
            </w:r>
          </w:p>
        </w:tc>
        <w:tc>
          <w:tcPr>
            <w:tcW w:type="dxa" w:w="1440"/>
          </w:tcPr>
          <w:p>
            <w:r>
              <w:rPr>
                <w:rFonts w:ascii="Calibri" w:hAnsi="Calibri"/>
                <w:sz w:val="22"/>
              </w:rPr>
              <w:t>EVP &amp; President, Ingalls</w:t>
            </w:r>
          </w:p>
        </w:tc>
        <w:tc>
          <w:tcPr>
            <w:tcW w:type="dxa" w:w="1440"/>
          </w:tcPr>
          <w:p>
            <w:r>
              <w:rPr>
                <w:rFonts w:ascii="Calibri" w:hAnsi="Calibri"/>
                <w:sz w:val="22"/>
              </w:rPr>
              <w:t>Equity Award Grant (A)</w:t>
            </w:r>
          </w:p>
        </w:tc>
        <w:tc>
          <w:tcPr>
            <w:tcW w:type="dxa" w:w="1440"/>
          </w:tcPr>
          <w:p>
            <w:r>
              <w:rPr>
                <w:rFonts w:ascii="Calibri" w:hAnsi="Calibri"/>
                <w:sz w:val="22"/>
              </w:rPr>
              <w:t>13.7 RSRs</w:t>
            </w:r>
          </w:p>
        </w:tc>
        <w:tc>
          <w:tcPr>
            <w:tcW w:type="dxa" w:w="1440"/>
          </w:tcPr>
          <w:p>
            <w:r>
              <w:rPr>
                <w:rFonts w:ascii="Calibri" w:hAnsi="Calibri"/>
                <w:sz w:val="22"/>
              </w:rPr>
              <w:t>June 12, 2026</w:t>
            </w:r>
          </w:p>
        </w:tc>
        <w:tc>
          <w:tcPr>
            <w:tcW w:type="dxa" w:w="1440"/>
          </w:tcPr>
          <w:p>
            <w:r>
              <w:rPr>
                <w:rFonts w:ascii="Calibri" w:hAnsi="Calibri"/>
                <w:sz w:val="22"/>
              </w:rPr>
              <w:t>Routine annual restricted stock rights grant; not a market transaction.</w:t>
            </w:r>
          </w:p>
        </w:tc>
      </w:tr>
      <w:tr>
        <w:tc>
          <w:tcPr>
            <w:tcW w:type="dxa" w:w="1440"/>
          </w:tcPr>
          <w:p>
            <w:r>
              <w:rPr>
                <w:rFonts w:ascii="Calibri" w:hAnsi="Calibri"/>
                <w:sz w:val="22"/>
              </w:rPr>
              <w:t>Multiple Directors (10 individuals)</w:t>
            </w:r>
          </w:p>
        </w:tc>
        <w:tc>
          <w:tcPr>
            <w:tcW w:type="dxa" w:w="1440"/>
          </w:tcPr>
          <w:p>
            <w:r>
              <w:rPr>
                <w:rFonts w:ascii="Calibri" w:hAnsi="Calibri"/>
                <w:sz w:val="22"/>
              </w:rPr>
              <w:t>Board of Directors</w:t>
            </w:r>
          </w:p>
        </w:tc>
        <w:tc>
          <w:tcPr>
            <w:tcW w:type="dxa" w:w="1440"/>
          </w:tcPr>
          <w:p>
            <w:r>
              <w:rPr>
                <w:rFonts w:ascii="Calibri" w:hAnsi="Calibri"/>
                <w:sz w:val="22"/>
              </w:rPr>
              <w:t>Equity Award Grant (A)</w:t>
            </w:r>
          </w:p>
        </w:tc>
        <w:tc>
          <w:tcPr>
            <w:tcW w:type="dxa" w:w="1440"/>
          </w:tcPr>
          <w:p>
            <w:r>
              <w:rPr>
                <w:rFonts w:ascii="Calibri" w:hAnsi="Calibri"/>
                <w:sz w:val="22"/>
              </w:rPr>
              <w:t>174 SUA shares each (July 1, 2026)</w:t>
            </w:r>
          </w:p>
        </w:tc>
        <w:tc>
          <w:tcPr>
            <w:tcW w:type="dxa" w:w="1440"/>
          </w:tcPr>
          <w:p>
            <w:r>
              <w:rPr>
                <w:rFonts w:ascii="Calibri" w:hAnsi="Calibri"/>
                <w:sz w:val="22"/>
              </w:rPr>
              <w:t>July 1–2, 2026</w:t>
            </w:r>
          </w:p>
        </w:tc>
        <w:tc>
          <w:tcPr>
            <w:tcW w:type="dxa" w:w="1440"/>
          </w:tcPr>
          <w:p>
            <w:r>
              <w:rPr>
                <w:rFonts w:ascii="Calibri" w:hAnsi="Calibri"/>
                <w:sz w:val="22"/>
              </w:rPr>
              <w:t>Routine quarterly director stock unit awards; not market transactions.</w:t>
            </w:r>
          </w:p>
        </w:tc>
      </w:tr>
    </w:tbl>
    <w:p>
      <w:r>
        <w:rPr>
          <w:rFonts w:ascii="Calibri" w:hAnsi="Calibri"/>
          <w:i/>
          <w:color w:val="525866"/>
          <w:sz w:val="22"/>
        </w:rPr>
        <w:t xml:space="preserve">Source: SEC Form 4 filings via Insider Transaction Data. </w:t>
      </w:r>
      <w:r>
        <w:rPr>
          <w:rFonts w:ascii="Calibri" w:hAnsi="Calibri"/>
          <w:color w:val="525866"/>
          <w:sz w:val="22"/>
        </w:rPr>
        <w:t>The only open-market transaction since Q1 earnings is the May 28 sale of 3,500 shares by the Chief HR Officer at approximately $320/share — a modest discretionary sale near the post-earnings high, not flagged as a 10b5-1 plan. All other transactions are routine equity award grants (Form 4 code A) associated with annual compensation cycles. No open-market buys were recorded despite the stock's ~14% decline from the May 5 earnings date through late July. The absence of insider buying at lower prices is not a strong negative signal given the routine nature of the grant cycle, but the lack of discretionary purchases is worth monitoring.</w:t>
      </w:r>
    </w:p>
    <w:p>
      <w:r>
        <w:rPr>
          <w:rFonts w:ascii="Calibri" w:hAnsi="Calibri"/>
          <w:i/>
          <w:color w:val="525866"/>
          <w:sz w:val="22"/>
        </w:rPr>
        <w:t>— End of Document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