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HII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Huntington Ingalls Industries, Inc.</w:t>
            </w:r>
          </w:p>
        </w:tc>
      </w:tr>
      <w:tr>
        <w:tc>
          <w:tcPr>
            <w:tcW w:type="dxa" w:w="4320"/>
          </w:tcPr>
          <w:p>
            <w:r>
              <w:rPr>
                <w:rFonts w:ascii="Calibri" w:hAnsi="Calibri"/>
                <w:b/>
                <w:sz w:val="22"/>
              </w:rPr>
              <w:t>Ticker</w:t>
            </w:r>
          </w:p>
        </w:tc>
        <w:tc>
          <w:tcPr>
            <w:tcW w:type="dxa" w:w="4320"/>
          </w:tcPr>
          <w:p>
            <w:r>
              <w:rPr>
                <w:rFonts w:ascii="Calibri" w:hAnsi="Calibri"/>
                <w:sz w:val="22"/>
              </w:rPr>
              <w:t>HII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 9:00 AM ET</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Sector ETF Benchmark</w:t>
            </w:r>
          </w:p>
        </w:tc>
        <w:tc>
          <w:tcPr>
            <w:tcW w:type="dxa" w:w="4320"/>
          </w:tcPr>
          <w:p>
            <w:r>
              <w:rPr>
                <w:rFonts w:ascii="Calibri" w:hAnsi="Calibri"/>
                <w:sz w:val="22"/>
              </w:rPr>
              <w:t>ITA (iShares U.S. Aerospace &amp; Defense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mixed-to-cautious — consensus has drifted lower since the Q1 print and the bar is now modest, but the stock has underperformed ITA by ~20 points since May 5, meaning any guidance raise or contract-award confirmation (Block VI / Columbia) could be a meaningful catalyst; the single biggest swing factor is whether management can confirm both submarine contracts closed in Q2 as promised.</w:t>
      </w:r>
    </w:p>
    <w:p>
      <w:r>
        <w:rPr>
          <w:rFonts w:ascii="Calibri" w:hAnsi="Calibri"/>
          <w:color w:val="525866"/>
          <w:sz w:val="22"/>
        </w:rPr>
        <w:t xml:space="preserve">Heading into HII's Q2 2026 print, the setup is one of a low-but-not-trivial bar against a stock that has already de-rated sharply. </w:t>
      </w:r>
      <w:r>
        <w:rPr>
          <w:rFonts w:ascii="Calibri" w:hAnsi="Calibri"/>
          <w:b/>
          <w:color w:val="525866"/>
          <w:sz w:val="22"/>
        </w:rPr>
        <w:t>Consensus Q2 operating EPS stands at ~$3.32</w:t>
      </w:r>
      <w:r>
        <w:rPr>
          <w:rFonts w:ascii="Calibri" w:hAnsi="Calibri"/>
          <w:color w:val="525866"/>
          <w:sz w:val="22"/>
        </w:rPr>
        <w:t xml:space="preserve"> — down from ~$3.44 at the time of the Q1 print — while revenue consensus of ~$3.16B implies roughly 2.5% year-over-year growth, a meaningful deceleration from the 18% shipbuilding revenue growth posted in Q1. Management guided Q2 shipbuilding revenue of ~$2.4B and operating margins of 5.7%–6.0%, with Mission Technologies revenue of ~$750M at ~4% margin, and free cash flow in the range of -$100M to +$100M. </w:t>
      </w:r>
      <w:r>
        <w:rPr>
          <w:rFonts w:ascii="Calibri" w:hAnsi="Calibri"/>
          <w:b/>
          <w:color w:val="525866"/>
          <w:sz w:val="22"/>
        </w:rPr>
        <w:t>The critical wildcard is the Virginia-class Block VI and Columbia Build II contract awards</w:t>
      </w:r>
      <w:r>
        <w:rPr>
          <w:rFonts w:ascii="Calibri" w:hAnsi="Calibri"/>
          <w:color w:val="525866"/>
          <w:sz w:val="22"/>
        </w:rPr>
        <w:t>: CEO Kastner said at the Bernstein conference (May 28) he "fully expects" both done before end of Q2, and GD confirmed on its July 29 call that "contracts will be coming soon" — if HII confirms awards on the call, it removes the single largest overhang on the stock and unlocks meaningful free cash flow in H2. The stock has fallen ~14% since the Q1 print vs. ITA up ~10%, pricing in execution risk and the contract delay; a clean quarter with contract confirmation could close much of that gap, while another slip would likely pressure shares further.</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 bar on revenue (guided range implies modest growth) but margins remain the swing factor — shipbuilding operating margin at 5.7–6.0% guidance vs. 5.73% actual in Q1 leaves little room for error, and any LHA-8 or CVN-80 adjustment could push the print below the midpoint.</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$3,099M</w:t>
            </w:r>
          </w:p>
        </w:tc>
        <w:tc>
          <w:tcPr>
            <w:tcW w:type="dxa" w:w="1234"/>
          </w:tcPr>
          <w:p>
            <w:r>
              <w:rPr>
                <w:rFonts w:ascii="Calibri" w:hAnsi="Calibri"/>
                <w:sz w:val="22"/>
              </w:rPr>
              <w:t>$3,082M</w:t>
            </w:r>
          </w:p>
        </w:tc>
        <w:tc>
          <w:tcPr>
            <w:tcW w:type="dxa" w:w="1234"/>
          </w:tcPr>
          <w:p>
            <w:r>
              <w:rPr>
                <w:rFonts w:ascii="Calibri" w:hAnsi="Calibri"/>
                <w:sz w:val="22"/>
              </w:rPr>
              <w:t>$3,158M</w:t>
            </w:r>
          </w:p>
        </w:tc>
        <w:tc>
          <w:tcPr>
            <w:tcW w:type="dxa" w:w="1234"/>
          </w:tcPr>
          <w:p>
            <w:r>
              <w:rPr>
                <w:rFonts w:ascii="Calibri" w:hAnsi="Calibri"/>
                <w:sz w:val="22"/>
              </w:rPr>
              <w:t>+2.5% YoY</w:t>
            </w:r>
          </w:p>
        </w:tc>
        <w:tc>
          <w:tcPr>
            <w:tcW w:type="dxa" w:w="1234"/>
          </w:tcPr>
          <w:p>
            <w:r>
              <w:rPr>
                <w:rFonts w:ascii="Calibri" w:hAnsi="Calibri"/>
                <w:sz w:val="22"/>
              </w:rPr>
              <w:t>~$3,150M (implied)</w:t>
            </w:r>
          </w:p>
        </w:tc>
        <w:tc>
          <w:tcPr>
            <w:tcW w:type="dxa" w:w="1234"/>
          </w:tcPr>
          <w:p>
            <w:r>
              <w:rPr>
                <w:rFonts w:ascii="Calibri" w:hAnsi="Calibri"/>
                <w:sz w:val="22"/>
              </w:rPr>
              <w:t>+0.3%</w:t>
            </w:r>
          </w:p>
        </w:tc>
      </w:tr>
      <w:tr>
        <w:tc>
          <w:tcPr>
            <w:tcW w:type="dxa" w:w="1234"/>
          </w:tcPr>
          <w:p>
            <w:r>
              <w:rPr>
                <w:rFonts w:ascii="Calibri" w:hAnsi="Calibri"/>
                <w:sz w:val="22"/>
              </w:rPr>
              <w:t>Shipbuilding Revenue ($M)</w:t>
            </w:r>
          </w:p>
        </w:tc>
        <w:tc>
          <w:tcPr>
            <w:tcW w:type="dxa" w:w="1234"/>
          </w:tcPr>
          <w:p>
            <w:r>
              <w:rPr>
                <w:rFonts w:ascii="Calibri" w:hAnsi="Calibri"/>
                <w:sz w:val="22"/>
              </w:rPr>
              <w:t>$2,390M</w:t>
            </w:r>
          </w:p>
        </w:tc>
        <w:tc>
          <w:tcPr>
            <w:tcW w:type="dxa" w:w="1234"/>
          </w:tcPr>
          <w:p>
            <w:r>
              <w:rPr>
                <w:rFonts w:ascii="Calibri" w:hAnsi="Calibri"/>
                <w:sz w:val="22"/>
              </w:rPr>
              <w:t>$2,327M</w:t>
            </w:r>
          </w:p>
        </w:tc>
        <w:tc>
          <w:tcPr>
            <w:tcW w:type="dxa" w:w="1234"/>
          </w:tcPr>
          <w:p>
            <w:r>
              <w:rPr>
                <w:rFonts w:ascii="Calibri" w:hAnsi="Calibri"/>
                <w:sz w:val="22"/>
              </w:rPr>
              <w:t>$2,429M</w:t>
            </w:r>
          </w:p>
        </w:tc>
        <w:tc>
          <w:tcPr>
            <w:tcW w:type="dxa" w:w="1234"/>
          </w:tcPr>
          <w:p>
            <w:r>
              <w:rPr>
                <w:rFonts w:ascii="Calibri" w:hAnsi="Calibri"/>
                <w:sz w:val="22"/>
              </w:rPr>
              <w:t>+4.4% YoY</w:t>
            </w:r>
          </w:p>
        </w:tc>
        <w:tc>
          <w:tcPr>
            <w:tcW w:type="dxa" w:w="1234"/>
          </w:tcPr>
          <w:p>
            <w:r>
              <w:rPr>
                <w:rFonts w:ascii="Calibri" w:hAnsi="Calibri"/>
                <w:sz w:val="22"/>
              </w:rPr>
              <w:t>~$2,400M</w:t>
            </w:r>
          </w:p>
        </w:tc>
        <w:tc>
          <w:tcPr>
            <w:tcW w:type="dxa" w:w="1234"/>
          </w:tcPr>
          <w:p>
            <w:r>
              <w:rPr>
                <w:rFonts w:ascii="Calibri" w:hAnsi="Calibri"/>
                <w:sz w:val="22"/>
              </w:rPr>
              <w:t>+1.2%</w:t>
            </w:r>
          </w:p>
        </w:tc>
      </w:tr>
      <w:tr>
        <w:tc>
          <w:tcPr>
            <w:tcW w:type="dxa" w:w="1234"/>
          </w:tcPr>
          <w:p>
            <w:r>
              <w:rPr>
                <w:rFonts w:ascii="Calibri" w:hAnsi="Calibri"/>
                <w:sz w:val="22"/>
              </w:rPr>
              <w:t>Shipbuilding Op. Margin (%)</w:t>
            </w:r>
          </w:p>
        </w:tc>
        <w:tc>
          <w:tcPr>
            <w:tcW w:type="dxa" w:w="1234"/>
          </w:tcPr>
          <w:p>
            <w:r>
              <w:rPr>
                <w:rFonts w:ascii="Calibri" w:hAnsi="Calibri"/>
                <w:sz w:val="22"/>
              </w:rPr>
              <w:t>5.73%</w:t>
            </w:r>
          </w:p>
        </w:tc>
        <w:tc>
          <w:tcPr>
            <w:tcW w:type="dxa" w:w="1234"/>
          </w:tcPr>
          <w:p>
            <w:r>
              <w:rPr>
                <w:rFonts w:ascii="Calibri" w:hAnsi="Calibri"/>
                <w:sz w:val="22"/>
              </w:rPr>
              <w:t>5.84%</w:t>
            </w:r>
          </w:p>
        </w:tc>
        <w:tc>
          <w:tcPr>
            <w:tcW w:type="dxa" w:w="1234"/>
          </w:tcPr>
          <w:p>
            <w:r>
              <w:rPr>
                <w:rFonts w:ascii="Calibri" w:hAnsi="Calibri"/>
                <w:sz w:val="22"/>
              </w:rPr>
              <w:t>5.90%</w:t>
            </w:r>
          </w:p>
        </w:tc>
        <w:tc>
          <w:tcPr>
            <w:tcW w:type="dxa" w:w="1234"/>
          </w:tcPr>
          <w:p>
            <w:r>
              <w:rPr>
                <w:rFonts w:ascii="Calibri" w:hAnsi="Calibri"/>
                <w:sz w:val="22"/>
              </w:rPr>
              <w:t>-0.06 pp YoY (est.)</w:t>
            </w:r>
          </w:p>
        </w:tc>
        <w:tc>
          <w:tcPr>
            <w:tcW w:type="dxa" w:w="1234"/>
          </w:tcPr>
          <w:p>
            <w:r>
              <w:rPr>
                <w:rFonts w:ascii="Calibri" w:hAnsi="Calibri"/>
                <w:sz w:val="22"/>
              </w:rPr>
              <w:t>5.7%–6.0%</w:t>
            </w:r>
          </w:p>
        </w:tc>
        <w:tc>
          <w:tcPr>
            <w:tcW w:type="dxa" w:w="1234"/>
          </w:tcPr>
          <w:p>
            <w:r>
              <w:rPr>
                <w:rFonts w:ascii="Calibri" w:hAnsi="Calibri"/>
                <w:sz w:val="22"/>
              </w:rPr>
              <w:t>+0.05 pp vs. midpoint</w:t>
            </w:r>
          </w:p>
        </w:tc>
      </w:tr>
      <w:tr>
        <w:tc>
          <w:tcPr>
            <w:tcW w:type="dxa" w:w="1234"/>
          </w:tcPr>
          <w:p>
            <w:r>
              <w:rPr>
                <w:rFonts w:ascii="Calibri" w:hAnsi="Calibri"/>
                <w:sz w:val="22"/>
              </w:rPr>
              <w:t>Mission Technologies Revenue ($M)</w:t>
            </w:r>
          </w:p>
        </w:tc>
        <w:tc>
          <w:tcPr>
            <w:tcW w:type="dxa" w:w="1234"/>
          </w:tcPr>
          <w:p>
            <w:r>
              <w:rPr>
                <w:rFonts w:ascii="Calibri" w:hAnsi="Calibri"/>
                <w:sz w:val="22"/>
              </w:rPr>
              <w:t>$748M</w:t>
            </w:r>
          </w:p>
        </w:tc>
        <w:tc>
          <w:tcPr>
            <w:tcW w:type="dxa" w:w="1234"/>
          </w:tcPr>
          <w:p>
            <w:r>
              <w:rPr>
                <w:rFonts w:ascii="Calibri" w:hAnsi="Calibri"/>
                <w:sz w:val="22"/>
              </w:rPr>
              <w:t>$791M</w:t>
            </w:r>
          </w:p>
        </w:tc>
        <w:tc>
          <w:tcPr>
            <w:tcW w:type="dxa" w:w="1234"/>
          </w:tcPr>
          <w:p>
            <w:r>
              <w:rPr>
                <w:rFonts w:ascii="Calibri" w:hAnsi="Calibri"/>
                <w:sz w:val="22"/>
              </w:rPr>
              <w:t>$760M</w:t>
            </w:r>
          </w:p>
        </w:tc>
        <w:tc>
          <w:tcPr>
            <w:tcW w:type="dxa" w:w="1234"/>
          </w:tcPr>
          <w:p>
            <w:r>
              <w:rPr>
                <w:rFonts w:ascii="Calibri" w:hAnsi="Calibri"/>
                <w:sz w:val="22"/>
              </w:rPr>
              <w:t>-3.9% YoY</w:t>
            </w:r>
          </w:p>
        </w:tc>
        <w:tc>
          <w:tcPr>
            <w:tcW w:type="dxa" w:w="1234"/>
          </w:tcPr>
          <w:p>
            <w:r>
              <w:rPr>
                <w:rFonts w:ascii="Calibri" w:hAnsi="Calibri"/>
                <w:sz w:val="22"/>
              </w:rPr>
              <w:t>~$750M</w:t>
            </w:r>
          </w:p>
        </w:tc>
        <w:tc>
          <w:tcPr>
            <w:tcW w:type="dxa" w:w="1234"/>
          </w:tcPr>
          <w:p>
            <w:r>
              <w:rPr>
                <w:rFonts w:ascii="Calibri" w:hAnsi="Calibri"/>
                <w:sz w:val="22"/>
              </w:rPr>
              <w:t>+1.3%</w:t>
            </w:r>
          </w:p>
        </w:tc>
      </w:tr>
      <w:tr>
        <w:tc>
          <w:tcPr>
            <w:tcW w:type="dxa" w:w="1234"/>
          </w:tcPr>
          <w:p>
            <w:r>
              <w:rPr>
                <w:rFonts w:ascii="Calibri" w:hAnsi="Calibri"/>
                <w:sz w:val="22"/>
              </w:rPr>
              <w:t>Mission Technologies Op. Margin (%)</w:t>
            </w:r>
          </w:p>
        </w:tc>
        <w:tc>
          <w:tcPr>
            <w:tcW w:type="dxa" w:w="1234"/>
          </w:tcPr>
          <w:p>
            <w:r>
              <w:rPr>
                <w:rFonts w:ascii="Calibri" w:hAnsi="Calibri"/>
                <w:sz w:val="22"/>
              </w:rPr>
              <w:t>4.68%</w:t>
            </w:r>
          </w:p>
        </w:tc>
        <w:tc>
          <w:tcPr>
            <w:tcW w:type="dxa" w:w="1234"/>
          </w:tcPr>
          <w:p>
            <w:r>
              <w:rPr>
                <w:rFonts w:ascii="Calibri" w:hAnsi="Calibri"/>
                <w:sz w:val="22"/>
              </w:rPr>
              <w:t>4.55%</w:t>
            </w:r>
          </w:p>
        </w:tc>
        <w:tc>
          <w:tcPr>
            <w:tcW w:type="dxa" w:w="1234"/>
          </w:tcPr>
          <w:p>
            <w:r>
              <w:rPr>
                <w:rFonts w:ascii="Calibri" w:hAnsi="Calibri"/>
                <w:sz w:val="22"/>
              </w:rPr>
              <w:t>4.26%</w:t>
            </w:r>
          </w:p>
        </w:tc>
        <w:tc>
          <w:tcPr>
            <w:tcW w:type="dxa" w:w="1234"/>
          </w:tcPr>
          <w:p>
            <w:r>
              <w:rPr>
                <w:rFonts w:ascii="Calibri" w:hAnsi="Calibri"/>
                <w:sz w:val="22"/>
              </w:rPr>
              <w:t>-0.29 pp YoY (est.)</w:t>
            </w:r>
          </w:p>
        </w:tc>
        <w:tc>
          <w:tcPr>
            <w:tcW w:type="dxa" w:w="1234"/>
          </w:tcPr>
          <w:p>
            <w:r>
              <w:rPr>
                <w:rFonts w:ascii="Calibri" w:hAnsi="Calibri"/>
                <w:sz w:val="22"/>
              </w:rPr>
              <w:t>~4.0%</w:t>
            </w:r>
          </w:p>
        </w:tc>
        <w:tc>
          <w:tcPr>
            <w:tcW w:type="dxa" w:w="1234"/>
          </w:tcPr>
          <w:p>
            <w:r>
              <w:rPr>
                <w:rFonts w:ascii="Calibri" w:hAnsi="Calibri"/>
                <w:sz w:val="22"/>
              </w:rPr>
              <w:t>+0.26 pp vs. guidance</w:t>
            </w:r>
          </w:p>
        </w:tc>
      </w:tr>
      <w:tr>
        <w:tc>
          <w:tcPr>
            <w:tcW w:type="dxa" w:w="1234"/>
          </w:tcPr>
          <w:p>
            <w:r>
              <w:rPr>
                <w:rFonts w:ascii="Calibri" w:hAnsi="Calibri"/>
                <w:sz w:val="22"/>
              </w:rPr>
              <w:t>EPS — Diluted Operating ($)</w:t>
            </w:r>
          </w:p>
        </w:tc>
        <w:tc>
          <w:tcPr>
            <w:tcW w:type="dxa" w:w="1234"/>
          </w:tcPr>
          <w:p>
            <w:r>
              <w:rPr>
                <w:rFonts w:ascii="Calibri" w:hAnsi="Calibri"/>
                <w:sz w:val="22"/>
              </w:rPr>
              <w:t>$3.29</w:t>
            </w:r>
          </w:p>
        </w:tc>
        <w:tc>
          <w:tcPr>
            <w:tcW w:type="dxa" w:w="1234"/>
          </w:tcPr>
          <w:p>
            <w:r>
              <w:rPr>
                <w:rFonts w:ascii="Calibri" w:hAnsi="Calibri"/>
                <w:sz w:val="22"/>
              </w:rPr>
              <w:t>$3.33</w:t>
            </w:r>
          </w:p>
        </w:tc>
        <w:tc>
          <w:tcPr>
            <w:tcW w:type="dxa" w:w="1234"/>
          </w:tcPr>
          <w:p>
            <w:r>
              <w:rPr>
                <w:rFonts w:ascii="Calibri" w:hAnsi="Calibri"/>
                <w:sz w:val="22"/>
              </w:rPr>
              <w:t>$3.32</w:t>
            </w:r>
          </w:p>
        </w:tc>
        <w:tc>
          <w:tcPr>
            <w:tcW w:type="dxa" w:w="1234"/>
          </w:tcPr>
          <w:p>
            <w:r>
              <w:rPr>
                <w:rFonts w:ascii="Calibri" w:hAnsi="Calibri"/>
                <w:sz w:val="22"/>
              </w:rPr>
              <w:t>-0.3% YoY</w:t>
            </w:r>
          </w:p>
        </w:tc>
        <w:tc>
          <w:tcPr>
            <w:tcW w:type="dxa" w:w="1234"/>
          </w:tcPr>
          <w:p>
            <w:r>
              <w:rPr>
                <w:rFonts w:ascii="Calibri" w:hAnsi="Calibri"/>
                <w:sz w:val="22"/>
              </w:rPr>
              <w:t>N/A (no specific EPS guide)</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-$461M</w:t>
            </w:r>
          </w:p>
        </w:tc>
        <w:tc>
          <w:tcPr>
            <w:tcW w:type="dxa" w:w="1234"/>
          </w:tcPr>
          <w:p>
            <w:r>
              <w:rPr>
                <w:rFonts w:ascii="Calibri" w:hAnsi="Calibri"/>
                <w:sz w:val="22"/>
              </w:rPr>
              <w:t>$730M</w:t>
            </w:r>
          </w:p>
        </w:tc>
        <w:tc>
          <w:tcPr>
            <w:tcW w:type="dxa" w:w="1234"/>
          </w:tcPr>
          <w:p>
            <w:r>
              <w:rPr>
                <w:rFonts w:ascii="Calibri" w:hAnsi="Calibri"/>
                <w:sz w:val="22"/>
              </w:rPr>
              <w:t>$72M</w:t>
            </w:r>
          </w:p>
        </w:tc>
        <w:tc>
          <w:tcPr>
            <w:tcW w:type="dxa" w:w="1234"/>
          </w:tcPr>
          <w:p>
            <w:r>
              <w:rPr>
                <w:rFonts w:ascii="Calibri" w:hAnsi="Calibri"/>
                <w:sz w:val="22"/>
              </w:rPr>
              <w:t>N/M (Q2 2025 was unusually high)</w:t>
            </w:r>
          </w:p>
        </w:tc>
        <w:tc>
          <w:tcPr>
            <w:tcW w:type="dxa" w:w="1234"/>
          </w:tcPr>
          <w:p>
            <w:r>
              <w:rPr>
                <w:rFonts w:ascii="Calibri" w:hAnsi="Calibri"/>
                <w:sz w:val="22"/>
              </w:rPr>
              <w:t>-$100M to +$100M</w:t>
            </w:r>
          </w:p>
        </w:tc>
        <w:tc>
          <w:tcPr>
            <w:tcW w:type="dxa" w:w="1234"/>
          </w:tcPr>
          <w:p>
            <w:r>
              <w:rPr>
                <w:rFonts w:ascii="Calibri" w:hAnsi="Calibri"/>
                <w:sz w:val="22"/>
              </w:rPr>
              <w:t>+$72M vs. $0 midpoint</w:t>
            </w:r>
          </w:p>
        </w:tc>
      </w:tr>
      <w:tr>
        <w:tc>
          <w:tcPr>
            <w:tcW w:type="dxa" w:w="1234"/>
          </w:tcPr>
          <w:p>
            <w:r>
              <w:rPr>
                <w:rFonts w:ascii="Calibri" w:hAnsi="Calibri"/>
                <w:sz w:val="22"/>
              </w:rPr>
              <w:t>Backlog ($B)</w:t>
            </w:r>
          </w:p>
        </w:tc>
        <w:tc>
          <w:tcPr>
            <w:tcW w:type="dxa" w:w="1234"/>
          </w:tcPr>
          <w:p>
            <w:r>
              <w:rPr>
                <w:rFonts w:ascii="Calibri" w:hAnsi="Calibri"/>
                <w:sz w:val="22"/>
              </w:rPr>
              <w:t>$54.0B</w:t>
            </w:r>
          </w:p>
        </w:tc>
        <w:tc>
          <w:tcPr>
            <w:tcW w:type="dxa" w:w="1234"/>
          </w:tcPr>
          <w:p>
            <w:r>
              <w:rPr>
                <w:rFonts w:ascii="Calibri" w:hAnsi="Calibri"/>
                <w:sz w:val="22"/>
              </w:rPr>
              <w:t>$56.9B</w:t>
            </w:r>
          </w:p>
        </w:tc>
        <w:tc>
          <w:tcPr>
            <w:tcW w:type="dxa" w:w="1234"/>
          </w:tcPr>
          <w:p>
            <w:r>
              <w:rPr>
                <w:rFonts w:ascii="Calibri" w:hAnsi="Calibri"/>
                <w:sz w:val="22"/>
              </w:rPr>
              <w:t>$60.9B (est.)</w:t>
            </w:r>
          </w:p>
        </w:tc>
        <w:tc>
          <w:tcPr>
            <w:tcW w:type="dxa" w:w="1234"/>
          </w:tcPr>
          <w:p>
            <w:r>
              <w:rPr>
                <w:rFonts w:ascii="Calibri" w:hAnsi="Calibri"/>
                <w:sz w:val="22"/>
              </w:rPr>
              <w:t>+7.0% YoY (est.)</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HII has beaten on shipbuilding revenue in 5 of the last 8 quarters and on operating EPS in 6 of 8, with the misses concentrated in Q3–Q4 2024 when pre-COVID contract headwinds were most acute. The recent streak of beats (Q1–Q4 2025 and Q1 2026) reflects the throughput ramp, but the magnitude of beats has narrowed as consensus has caught up to the improved trajectory.</w:t>
      </w:r>
    </w:p>
    <w:p>
      <w:r>
        <w:rPr>
          <w:rFonts w:ascii="Calibri" w:hAnsi="Calibri"/>
          <w:i/>
          <w:color w:val="525866"/>
          <w:sz w:val="22"/>
        </w:rPr>
        <w:t>Sources: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lower since the Q1 print — Q2 operating EPS consensus fell from ~$3.44 to ~$3.32 and FY26 EPS from ~$15.87 to ~$15.32 — creating a slightly easier bar, but the gap between consensus and guidance midpoints is narrow, leaving little room for a meaningful positive surprise unless contract awards or deliveries accelerate.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12, 2026)</w:t>
            </w:r>
          </w:p>
        </w:tc>
        <w:tc>
          <w:tcPr>
            <w:tcW w:type="dxa" w:w="1080"/>
            <w:shd w:val="clear" w:color="auto" w:fill="3B4259"/>
          </w:tcPr>
          <w:p>
            <w:r>
              <w:rPr>
                <w:rFonts w:ascii="Calibri" w:hAnsi="Calibri"/>
                <w:b/>
                <w:color w:val="FFFFFF"/>
                <w:sz w:val="22"/>
              </w:rPr>
              <w:t>Current Consensus (July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$3,175M</w:t>
            </w:r>
          </w:p>
        </w:tc>
        <w:tc>
          <w:tcPr>
            <w:tcW w:type="dxa" w:w="1080"/>
          </w:tcPr>
          <w:p>
            <w:r>
              <w:rPr>
                <w:rFonts w:ascii="Calibri" w:hAnsi="Calibri"/>
                <w:sz w:val="22"/>
              </w:rPr>
              <w:t>$3,158M</w:t>
            </w:r>
          </w:p>
        </w:tc>
        <w:tc>
          <w:tcPr>
            <w:tcW w:type="dxa" w:w="1080"/>
          </w:tcPr>
          <w:p>
            <w:r>
              <w:rPr>
                <w:rFonts w:ascii="Calibri" w:hAnsi="Calibri"/>
                <w:b/>
                <w:color w:val="E5484D"/>
                <w:sz w:val="22"/>
              </w:rPr>
              <w:t>-0.5%</w:t>
            </w:r>
          </w:p>
        </w:tc>
        <w:tc>
          <w:tcPr>
            <w:tcW w:type="dxa" w:w="1080"/>
          </w:tcPr>
          <w:p>
            <w:r>
              <w:rPr>
                <w:rFonts w:ascii="Calibri" w:hAnsi="Calibri"/>
                <w:sz w:val="22"/>
              </w:rPr>
              <w:t>~$3,150M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w:t>
            </w:r>
          </w:p>
        </w:tc>
      </w:tr>
      <w:tr>
        <w:tc>
          <w:tcPr>
            <w:tcW w:type="dxa" w:w="1080"/>
          </w:tcPr>
          <w:p>
            <w:r>
              <w:rPr>
                <w:rFonts w:ascii="Calibri" w:hAnsi="Calibri"/>
                <w:sz w:val="22"/>
              </w:rPr>
              <w:t>Shipbuilding Revenue — Q2 2026</w:t>
            </w:r>
          </w:p>
        </w:tc>
        <w:tc>
          <w:tcPr>
            <w:tcW w:type="dxa" w:w="1080"/>
          </w:tcPr>
          <w:p>
            <w:r>
              <w:rPr>
                <w:rFonts w:ascii="Calibri" w:hAnsi="Calibri"/>
                <w:sz w:val="22"/>
              </w:rPr>
              <w:t>$2,439M</w:t>
            </w:r>
          </w:p>
        </w:tc>
        <w:tc>
          <w:tcPr>
            <w:tcW w:type="dxa" w:w="1080"/>
          </w:tcPr>
          <w:p>
            <w:r>
              <w:rPr>
                <w:rFonts w:ascii="Calibri" w:hAnsi="Calibri"/>
                <w:sz w:val="22"/>
              </w:rPr>
              <w:t>$2,429M</w:t>
            </w:r>
          </w:p>
        </w:tc>
        <w:tc>
          <w:tcPr>
            <w:tcW w:type="dxa" w:w="1080"/>
          </w:tcPr>
          <w:p>
            <w:r>
              <w:rPr>
                <w:rFonts w:ascii="Calibri" w:hAnsi="Calibri"/>
                <w:b/>
                <w:color w:val="E5484D"/>
                <w:sz w:val="22"/>
              </w:rPr>
              <w:t>-0.4%</w:t>
            </w:r>
          </w:p>
        </w:tc>
        <w:tc>
          <w:tcPr>
            <w:tcW w:type="dxa" w:w="1080"/>
          </w:tcPr>
          <w:p>
            <w:r>
              <w:rPr>
                <w:rFonts w:ascii="Calibri" w:hAnsi="Calibri"/>
                <w:sz w:val="22"/>
              </w:rPr>
              <w:t>~$2,400M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+1.2%</w:t>
            </w:r>
          </w:p>
        </w:tc>
      </w:tr>
      <w:tr>
        <w:tc>
          <w:tcPr>
            <w:tcW w:type="dxa" w:w="1080"/>
          </w:tcPr>
          <w:p>
            <w:r>
              <w:rPr>
                <w:rFonts w:ascii="Calibri" w:hAnsi="Calibri"/>
                <w:sz w:val="22"/>
              </w:rPr>
              <w:t>Operating EPS — Q2 2026</w:t>
            </w:r>
          </w:p>
        </w:tc>
        <w:tc>
          <w:tcPr>
            <w:tcW w:type="dxa" w:w="1080"/>
          </w:tcPr>
          <w:p>
            <w:r>
              <w:rPr>
                <w:rFonts w:ascii="Calibri" w:hAnsi="Calibri"/>
                <w:sz w:val="22"/>
              </w:rPr>
              <w:t>$3.44</w:t>
            </w:r>
          </w:p>
        </w:tc>
        <w:tc>
          <w:tcPr>
            <w:tcW w:type="dxa" w:w="1080"/>
          </w:tcPr>
          <w:p>
            <w:r>
              <w:rPr>
                <w:rFonts w:ascii="Calibri" w:hAnsi="Calibri"/>
                <w:sz w:val="22"/>
              </w:rPr>
              <w:t>$3.32</w:t>
            </w:r>
          </w:p>
        </w:tc>
        <w:tc>
          <w:tcPr>
            <w:tcW w:type="dxa" w:w="1080"/>
          </w:tcPr>
          <w:p>
            <w:r>
              <w:rPr>
                <w:rFonts w:ascii="Calibri" w:hAnsi="Calibri"/>
                <w:b/>
                <w:color w:val="E5484D"/>
                <w:sz w:val="22"/>
              </w:rPr>
              <w:t>-3.5%</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Free Cash Flow — Q2 2026</w:t>
            </w:r>
          </w:p>
        </w:tc>
        <w:tc>
          <w:tcPr>
            <w:tcW w:type="dxa" w:w="1080"/>
          </w:tcPr>
          <w:p>
            <w:r>
              <w:rPr>
                <w:rFonts w:ascii="Calibri" w:hAnsi="Calibri"/>
                <w:sz w:val="22"/>
              </w:rPr>
              <w:t>$70M</w:t>
            </w:r>
          </w:p>
        </w:tc>
        <w:tc>
          <w:tcPr>
            <w:tcW w:type="dxa" w:w="1080"/>
          </w:tcPr>
          <w:p>
            <w:r>
              <w:rPr>
                <w:rFonts w:ascii="Calibri" w:hAnsi="Calibri"/>
                <w:sz w:val="22"/>
              </w:rPr>
              <w:t>$72M</w:t>
            </w:r>
          </w:p>
        </w:tc>
        <w:tc>
          <w:tcPr>
            <w:tcW w:type="dxa" w:w="1080"/>
          </w:tcPr>
          <w:p>
            <w:r>
              <w:rPr>
                <w:rFonts w:ascii="Calibri" w:hAnsi="Calibri"/>
                <w:b/>
                <w:color w:val="30A46C"/>
                <w:sz w:val="22"/>
              </w:rPr>
              <w:t>+2.9%</w:t>
            </w:r>
          </w:p>
        </w:tc>
        <w:tc>
          <w:tcPr>
            <w:tcW w:type="dxa" w:w="1080"/>
          </w:tcPr>
          <w:p>
            <w:r>
              <w:rPr>
                <w:rFonts w:ascii="Calibri" w:hAnsi="Calibri"/>
                <w:sz w:val="22"/>
              </w:rPr>
              <w:t>-$100M to +$100M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+$72M vs. $0 midpoint</w:t>
            </w:r>
          </w:p>
        </w:tc>
      </w:tr>
      <w:tr>
        <w:tc>
          <w:tcPr>
            <w:tcW w:type="dxa" w:w="1080"/>
          </w:tcPr>
          <w:p>
            <w:r>
              <w:rPr>
                <w:rFonts w:ascii="Calibri" w:hAnsi="Calibri"/>
                <w:sz w:val="22"/>
              </w:rPr>
              <w:t>Total Revenue — FY2026</w:t>
            </w:r>
          </w:p>
        </w:tc>
        <w:tc>
          <w:tcPr>
            <w:tcW w:type="dxa" w:w="1080"/>
          </w:tcPr>
          <w:p>
            <w:r>
              <w:rPr>
                <w:rFonts w:ascii="Calibri" w:hAnsi="Calibri"/>
                <w:sz w:val="22"/>
              </w:rPr>
              <w:t>$13,020M</w:t>
            </w:r>
          </w:p>
        </w:tc>
        <w:tc>
          <w:tcPr>
            <w:tcW w:type="dxa" w:w="1080"/>
          </w:tcPr>
          <w:p>
            <w:r>
              <w:rPr>
                <w:rFonts w:ascii="Calibri" w:hAnsi="Calibri"/>
                <w:sz w:val="22"/>
              </w:rPr>
              <w:t>$12,985M</w:t>
            </w:r>
          </w:p>
        </w:tc>
        <w:tc>
          <w:tcPr>
            <w:tcW w:type="dxa" w:w="1080"/>
          </w:tcPr>
          <w:p>
            <w:r>
              <w:rPr>
                <w:rFonts w:ascii="Calibri" w:hAnsi="Calibri"/>
                <w:b/>
                <w:color w:val="E5484D"/>
                <w:sz w:val="22"/>
              </w:rPr>
              <w:t>-0.3%</w:t>
            </w:r>
          </w:p>
        </w:tc>
        <w:tc>
          <w:tcPr>
            <w:tcW w:type="dxa" w:w="1080"/>
          </w:tcPr>
          <w:p>
            <w:r>
              <w:rPr>
                <w:rFonts w:ascii="Calibri" w:hAnsi="Calibri"/>
                <w:sz w:val="22"/>
              </w:rPr>
              <w:t>$12,700M–$13,100M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 vs. midpoint</w:t>
            </w:r>
          </w:p>
        </w:tc>
      </w:tr>
      <w:tr>
        <w:tc>
          <w:tcPr>
            <w:tcW w:type="dxa" w:w="1080"/>
          </w:tcPr>
          <w:p>
            <w:r>
              <w:rPr>
                <w:rFonts w:ascii="Calibri" w:hAnsi="Calibri"/>
                <w:sz w:val="22"/>
              </w:rPr>
              <w:t>Operating EPS — FY2026</w:t>
            </w:r>
          </w:p>
        </w:tc>
        <w:tc>
          <w:tcPr>
            <w:tcW w:type="dxa" w:w="1080"/>
          </w:tcPr>
          <w:p>
            <w:r>
              <w:rPr>
                <w:rFonts w:ascii="Calibri" w:hAnsi="Calibri"/>
                <w:sz w:val="22"/>
              </w:rPr>
              <w:t>$15.87</w:t>
            </w:r>
          </w:p>
        </w:tc>
        <w:tc>
          <w:tcPr>
            <w:tcW w:type="dxa" w:w="1080"/>
          </w:tcPr>
          <w:p>
            <w:r>
              <w:rPr>
                <w:rFonts w:ascii="Calibri" w:hAnsi="Calibri"/>
                <w:sz w:val="22"/>
              </w:rPr>
              <w:t>$15.32</w:t>
            </w:r>
          </w:p>
        </w:tc>
        <w:tc>
          <w:tcPr>
            <w:tcW w:type="dxa" w:w="1080"/>
          </w:tcPr>
          <w:p>
            <w:r>
              <w:rPr>
                <w:rFonts w:ascii="Calibri" w:hAnsi="Calibri"/>
                <w:b/>
                <w:color w:val="E5484D"/>
                <w:sz w:val="22"/>
              </w:rPr>
              <w:t>-3.5%</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Free Cash Flow — FY2026</w:t>
            </w:r>
          </w:p>
        </w:tc>
        <w:tc>
          <w:tcPr>
            <w:tcW w:type="dxa" w:w="1080"/>
          </w:tcPr>
          <w:p>
            <w:r>
              <w:rPr>
                <w:rFonts w:ascii="Calibri" w:hAnsi="Calibri"/>
                <w:sz w:val="22"/>
              </w:rPr>
              <w:t>$552M</w:t>
            </w:r>
          </w:p>
        </w:tc>
        <w:tc>
          <w:tcPr>
            <w:tcW w:type="dxa" w:w="1080"/>
          </w:tcPr>
          <w:p>
            <w:r>
              <w:rPr>
                <w:rFonts w:ascii="Calibri" w:hAnsi="Calibri"/>
                <w:sz w:val="22"/>
              </w:rPr>
              <w:t>$551M</w:t>
            </w:r>
          </w:p>
        </w:tc>
        <w:tc>
          <w:tcPr>
            <w:tcW w:type="dxa" w:w="1080"/>
          </w:tcPr>
          <w:p>
            <w:r>
              <w:rPr>
                <w:rFonts w:ascii="Calibri" w:hAnsi="Calibri"/>
                <w:sz w:val="22"/>
              </w:rPr>
              <w:t>-0.2%</w:t>
            </w:r>
          </w:p>
        </w:tc>
        <w:tc>
          <w:tcPr>
            <w:tcW w:type="dxa" w:w="1080"/>
          </w:tcPr>
          <w:p>
            <w:r>
              <w:rPr>
                <w:rFonts w:ascii="Calibri" w:hAnsi="Calibri"/>
                <w:sz w:val="22"/>
              </w:rPr>
              <w:t>$500M–$600M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+$1M vs. midpoint</w:t>
            </w:r>
          </w:p>
        </w:tc>
      </w:tr>
    </w:tbl>
    <w:p>
      <w:r>
        <w:br w:type="page"/>
      </w:r>
    </w:p>
    <w:p>
      <w:pPr>
        <w:pStyle w:val="Heading2"/>
      </w:pPr>
      <w:r>
        <w:rPr>
          <w:rFonts w:ascii="Calibri" w:hAnsi="Calibri"/>
          <w:b/>
          <w:color w:val="3B4259"/>
          <w:sz w:val="28"/>
        </w:rPr>
        <w:t>5. Stock Performance Since Q1 2026 Earnings (May 5, 2026)</w:t>
      </w:r>
    </w:p>
    <w:p>
      <w:r>
        <w:rPr>
          <w:rFonts w:ascii="Calibri" w:hAnsi="Calibri"/>
          <w:b/>
          <w:color w:val="525866"/>
          <w:sz w:val="22"/>
        </w:rPr>
        <w:t xml:space="preserve">Key Takeaway: </w:t>
      </w:r>
      <w:r>
        <w:rPr>
          <w:rFonts w:ascii="Calibri" w:hAnsi="Calibri"/>
          <w:color w:val="525866"/>
          <w:sz w:val="22"/>
        </w:rPr>
        <w:t>HII has dramatically underperformed both ITA and the S&amp;P 500 since the Q1 print — down ~14% vs. ITA +10% and SPY +1% — driven almost entirely by multiple compression and sentiment deterioration rather than estimate cuts, as the stock de-rated from ~$326 to ~$280 while the defense sector rallied on LMT/NOC/GD beats.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HII</w:t>
            </w:r>
          </w:p>
        </w:tc>
        <w:tc>
          <w:tcPr>
            <w:tcW w:type="dxa" w:w="2160"/>
            <w:shd w:val="clear" w:color="auto" w:fill="3B4259"/>
          </w:tcPr>
          <w:p>
            <w:r>
              <w:rPr>
                <w:rFonts w:ascii="Calibri" w:hAnsi="Calibri"/>
                <w:b/>
                <w:color w:val="FFFFFF"/>
                <w:sz w:val="22"/>
              </w:rPr>
              <w:t>ITA (Sector ETF)</w:t>
            </w:r>
          </w:p>
        </w:tc>
        <w:tc>
          <w:tcPr>
            <w:tcW w:type="dxa" w:w="2160"/>
            <w:shd w:val="clear" w:color="auto" w:fill="3B4259"/>
          </w:tcPr>
          <w:p>
            <w:r>
              <w:rPr>
                <w:rFonts w:ascii="Calibri" w:hAnsi="Calibri"/>
                <w:b/>
                <w:color w:val="FFFFFF"/>
                <w:sz w:val="22"/>
              </w:rPr>
              <w:t>S&amp;P 500 (SPY)</w:t>
            </w:r>
          </w:p>
        </w:tc>
      </w:tr>
      <w:tr>
        <w:tc>
          <w:tcPr>
            <w:tcW w:type="dxa" w:w="2160"/>
          </w:tcPr>
          <w:p>
            <w:r>
              <w:rPr>
                <w:rFonts w:ascii="Calibri" w:hAnsi="Calibri"/>
                <w:sz w:val="22"/>
              </w:rPr>
              <w:t>Price at Q1 Earnings (May 5, 2026)</w:t>
            </w:r>
          </w:p>
        </w:tc>
        <w:tc>
          <w:tcPr>
            <w:tcW w:type="dxa" w:w="2160"/>
          </w:tcPr>
          <w:p>
            <w:r>
              <w:rPr>
                <w:rFonts w:ascii="Calibri" w:hAnsi="Calibri"/>
                <w:sz w:val="22"/>
              </w:rPr>
              <w:t>$326.13</w:t>
            </w:r>
          </w:p>
        </w:tc>
        <w:tc>
          <w:tcPr>
            <w:tcW w:type="dxa" w:w="2160"/>
          </w:tcPr>
          <w:p>
            <w:r>
              <w:rPr>
                <w:rFonts w:ascii="Calibri" w:hAnsi="Calibri"/>
                <w:sz w:val="22"/>
              </w:rPr>
              <w:t>$215.37 (indexed 100)</w:t>
            </w:r>
          </w:p>
        </w:tc>
        <w:tc>
          <w:tcPr>
            <w:tcW w:type="dxa" w:w="2160"/>
          </w:tcPr>
          <w:p>
            <w:r>
              <w:rPr>
                <w:rFonts w:ascii="Calibri" w:hAnsi="Calibri"/>
                <w:sz w:val="22"/>
              </w:rPr>
              <w:t>$723.77 (indexed 100)</w:t>
            </w:r>
          </w:p>
        </w:tc>
      </w:tr>
      <w:tr>
        <w:tc>
          <w:tcPr>
            <w:tcW w:type="dxa" w:w="2160"/>
          </w:tcPr>
          <w:p>
            <w:r>
              <w:rPr>
                <w:rFonts w:ascii="Calibri" w:hAnsi="Calibri"/>
                <w:sz w:val="22"/>
              </w:rPr>
              <w:t>Price as of July 28, 2026</w:t>
            </w:r>
          </w:p>
        </w:tc>
        <w:tc>
          <w:tcPr>
            <w:tcW w:type="dxa" w:w="2160"/>
          </w:tcPr>
          <w:p>
            <w:r>
              <w:rPr>
                <w:rFonts w:ascii="Calibri" w:hAnsi="Calibri"/>
                <w:sz w:val="22"/>
              </w:rPr>
              <w:t>$299.90</w:t>
            </w:r>
          </w:p>
        </w:tc>
        <w:tc>
          <w:tcPr>
            <w:tcW w:type="dxa" w:w="2160"/>
          </w:tcPr>
          <w:p>
            <w:r>
              <w:rPr>
                <w:rFonts w:ascii="Calibri" w:hAnsi="Calibri"/>
                <w:sz w:val="22"/>
              </w:rPr>
              <w:t>$244.98</w:t>
            </w:r>
          </w:p>
        </w:tc>
        <w:tc>
          <w:tcPr>
            <w:tcW w:type="dxa" w:w="2160"/>
          </w:tcPr>
          <w:p>
            <w:r>
              <w:rPr>
                <w:rFonts w:ascii="Calibri" w:hAnsi="Calibri"/>
                <w:sz w:val="22"/>
              </w:rPr>
              <w:t>$740.86</w:t>
            </w:r>
          </w:p>
        </w:tc>
      </w:tr>
      <w:tr>
        <w:tc>
          <w:tcPr>
            <w:tcW w:type="dxa" w:w="2160"/>
          </w:tcPr>
          <w:p>
            <w:r>
              <w:rPr>
                <w:rFonts w:ascii="Calibri" w:hAnsi="Calibri"/>
                <w:sz w:val="22"/>
              </w:rPr>
              <w:t>Return Since Q1 Earnings</w:t>
            </w:r>
          </w:p>
        </w:tc>
        <w:tc>
          <w:tcPr>
            <w:tcW w:type="dxa" w:w="2160"/>
          </w:tcPr>
          <w:p>
            <w:r>
              <w:rPr>
                <w:rFonts w:ascii="Calibri" w:hAnsi="Calibri"/>
                <w:b/>
                <w:color w:val="E5484D"/>
                <w:sz w:val="22"/>
              </w:rPr>
              <w:t>-8.0%</w:t>
            </w:r>
          </w:p>
        </w:tc>
        <w:tc>
          <w:tcPr>
            <w:tcW w:type="dxa" w:w="2160"/>
          </w:tcPr>
          <w:p>
            <w:r>
              <w:rPr>
                <w:rFonts w:ascii="Calibri" w:hAnsi="Calibri"/>
                <w:b/>
                <w:color w:val="30A46C"/>
                <w:sz w:val="22"/>
              </w:rPr>
              <w:t>+13.7%</w:t>
            </w:r>
          </w:p>
        </w:tc>
        <w:tc>
          <w:tcPr>
            <w:tcW w:type="dxa" w:w="2160"/>
          </w:tcPr>
          <w:p>
            <w:r>
              <w:rPr>
                <w:rFonts w:ascii="Calibri" w:hAnsi="Calibri"/>
                <w:b/>
                <w:color w:val="30A46C"/>
                <w:sz w:val="22"/>
              </w:rPr>
              <w:t>+2.4%</w:t>
            </w:r>
          </w:p>
        </w:tc>
      </w:tr>
      <w:tr>
        <w:tc>
          <w:tcPr>
            <w:tcW w:type="dxa" w:w="2160"/>
          </w:tcPr>
          <w:p>
            <w:r>
              <w:rPr>
                <w:rFonts w:ascii="Calibri" w:hAnsi="Calibri"/>
                <w:sz w:val="22"/>
              </w:rPr>
              <w:t>Relative to ITA</w:t>
            </w:r>
          </w:p>
        </w:tc>
        <w:tc>
          <w:tcPr>
            <w:tcW w:type="dxa" w:w="2160"/>
          </w:tcPr>
          <w:p>
            <w:r>
              <w:rPr>
                <w:rFonts w:ascii="Calibri" w:hAnsi="Calibri"/>
                <w:b/>
                <w:color w:val="E5484D"/>
                <w:sz w:val="22"/>
              </w:rPr>
              <w:t>-21.7 pp vs. ITA</w:t>
            </w:r>
          </w:p>
        </w:tc>
        <w:tc>
          <w:tcPr>
            <w:tcW w:type="dxa" w:w="2160"/>
          </w:tcPr>
          <w:p>
            <w:r>
              <w:rPr>
                <w:rFonts w:ascii="Calibri" w:hAnsi="Calibri"/>
                <w:sz w:val="22"/>
              </w:rPr>
              <w:t>—</w:t>
            </w:r>
          </w:p>
        </w:tc>
        <w:tc>
          <w:tcPr>
            <w:tcW w:type="dxa" w:w="2160"/>
          </w:tcPr>
          <w:p>
            <w:r>
              <w:rPr>
                <w:rFonts w:ascii="Calibri" w:hAnsi="Calibri"/>
                <w:sz w:val="22"/>
              </w:rPr>
              <w:t>—</w:t>
            </w:r>
          </w:p>
        </w:tc>
      </w:tr>
      <w:tr>
        <w:tc>
          <w:tcPr>
            <w:tcW w:type="dxa" w:w="2160"/>
          </w:tcPr>
          <w:p>
            <w:r>
              <w:rPr>
                <w:rFonts w:ascii="Calibri" w:hAnsi="Calibri"/>
                <w:sz w:val="22"/>
              </w:rPr>
              <w:t>52-Week High</w:t>
            </w:r>
          </w:p>
        </w:tc>
        <w:tc>
          <w:tcPr>
            <w:tcW w:type="dxa" w:w="2160"/>
          </w:tcPr>
          <w:p>
            <w:r>
              <w:rPr>
                <w:rFonts w:ascii="Calibri" w:hAnsi="Calibri"/>
                <w:sz w:val="22"/>
              </w:rPr>
              <w:t>~$444 (Feb 2026)</w:t>
            </w:r>
          </w:p>
        </w:tc>
        <w:tc>
          <w:tcPr>
            <w:tcW w:type="dxa" w:w="2160"/>
          </w:tcPr>
          <w:p>
            <w:r>
              <w:rPr>
                <w:rFonts w:ascii="Calibri" w:hAnsi="Calibri"/>
                <w:sz w:val="22"/>
              </w:rPr>
              <w:t>—</w:t>
            </w:r>
          </w:p>
        </w:tc>
        <w:tc>
          <w:tcPr>
            <w:tcW w:type="dxa" w:w="2160"/>
          </w:tcPr>
          <w:p>
            <w:r>
              <w:rPr>
                <w:rFonts w:ascii="Calibri" w:hAnsi="Calibri"/>
                <w:sz w:val="22"/>
              </w:rPr>
              <w:t>—</w:t>
            </w:r>
          </w:p>
        </w:tc>
      </w:tr>
      <w:tr>
        <w:tc>
          <w:tcPr>
            <w:tcW w:type="dxa" w:w="2160"/>
          </w:tcPr>
          <w:p>
            <w:r>
              <w:rPr>
                <w:rFonts w:ascii="Calibri" w:hAnsi="Calibri"/>
                <w:sz w:val="22"/>
              </w:rPr>
              <w:t>% Off 52-Week High</w:t>
            </w:r>
          </w:p>
        </w:tc>
        <w:tc>
          <w:tcPr>
            <w:tcW w:type="dxa" w:w="2160"/>
          </w:tcPr>
          <w:p>
            <w:r>
              <w:rPr>
                <w:rFonts w:ascii="Calibri" w:hAnsi="Calibri"/>
                <w:b/>
                <w:color w:val="E5484D"/>
                <w:sz w:val="22"/>
              </w:rPr>
              <w:t>~-33%</w:t>
            </w:r>
          </w:p>
        </w:tc>
        <w:tc>
          <w:tcPr>
            <w:tcW w:type="dxa" w:w="2160"/>
          </w:tcPr>
          <w:p>
            <w:r>
              <w:rPr>
                <w:rFonts w:ascii="Calibri" w:hAnsi="Calibri"/>
                <w:sz w:val="22"/>
              </w:rPr>
              <w:t>—</w:t>
            </w:r>
          </w:p>
        </w:tc>
        <w:tc>
          <w:tcPr>
            <w:tcW w:type="dxa" w:w="2160"/>
          </w:tcPr>
          <w:p>
            <w:r>
              <w:rPr>
                <w:rFonts w:ascii="Calibri" w:hAnsi="Calibri"/>
                <w:sz w:val="22"/>
              </w:rPr>
              <w:t>—</w:t>
            </w:r>
          </w:p>
        </w:tc>
      </w:tr>
    </w:tbl>
    <w:p>
      <w:r>
        <w:rPr>
          <w:rFonts w:ascii="Calibri" w:hAnsi="Calibri"/>
          <w:b/>
          <w:color w:val="525866"/>
          <w:sz w:val="22"/>
        </w:rPr>
        <w:t>Key Events Since May 5, 2026:</w:t>
      </w:r>
    </w:p>
    <w:p>
      <w:pPr>
        <w:pStyle w:val="ListBullet"/>
        <w:ind w:left="360" w:hanging="360"/>
      </w:pPr>
      <w:r>
        <w:rPr>
          <w:rFonts w:ascii="Calibri" w:hAnsi="Calibri"/>
          <w:b/>
          <w:color w:val="525866"/>
          <w:sz w:val="22"/>
        </w:rPr>
        <w:t>May 5:</w:t>
      </w:r>
      <w:r>
        <w:rPr>
          <w:rFonts w:ascii="Calibri" w:hAnsi="Calibri"/>
          <w:color w:val="525866"/>
          <w:sz w:val="22"/>
        </w:rPr>
        <w:t xml:space="preserve"> Q1 2026 earnings — beat on revenue and EPS but stock fell ~2% as guidance was reaffirmed rather than raised; investors had expected more.</w:t>
      </w:r>
    </w:p>
    <w:p>
      <w:pPr>
        <w:pStyle w:val="ListBullet"/>
        <w:ind w:left="360" w:hanging="360"/>
      </w:pPr>
      <w:r>
        <w:rPr>
          <w:rFonts w:ascii="Calibri" w:hAnsi="Calibri"/>
          <w:b/>
          <w:color w:val="525866"/>
          <w:sz w:val="22"/>
        </w:rPr>
        <w:t>May 12:</w:t>
      </w:r>
      <w:r>
        <w:rPr>
          <w:rFonts w:ascii="Calibri" w:hAnsi="Calibri"/>
          <w:color w:val="525866"/>
          <w:sz w:val="22"/>
        </w:rPr>
        <w:t xml:space="preserve"> Stock bounced ~5% on broader defense sector momentum (US-China trade deal optimism).</w:t>
      </w:r>
    </w:p>
    <w:p>
      <w:pPr>
        <w:pStyle w:val="ListBullet"/>
        <w:ind w:left="360" w:hanging="360"/>
      </w:pPr>
      <w:r>
        <w:rPr>
          <w:rFonts w:ascii="Calibri" w:hAnsi="Calibri"/>
          <w:b/>
          <w:color w:val="525866"/>
          <w:sz w:val="22"/>
        </w:rPr>
        <w:t>May 28:</w:t>
      </w:r>
      <w:r>
        <w:rPr>
          <w:rFonts w:ascii="Calibri" w:hAnsi="Calibri"/>
          <w:color w:val="525866"/>
          <w:sz w:val="22"/>
        </w:rPr>
        <w:t xml:space="preserve"> Bernstein conference — CEO reaffirmed 6% medium-term growth, confirmed Block VI "very, very close"; stock flat on the day.</w:t>
      </w:r>
    </w:p>
    <w:p>
      <w:pPr>
        <w:pStyle w:val="ListBullet"/>
        <w:ind w:left="360" w:hanging="360"/>
      </w:pPr>
      <w:r>
        <w:rPr>
          <w:rFonts w:ascii="Calibri" w:hAnsi="Calibri"/>
          <w:b/>
          <w:color w:val="525866"/>
          <w:sz w:val="22"/>
        </w:rPr>
        <w:t>May 29 – June 10:</w:t>
      </w:r>
      <w:r>
        <w:rPr>
          <w:rFonts w:ascii="Calibri" w:hAnsi="Calibri"/>
          <w:color w:val="525866"/>
          <w:sz w:val="22"/>
        </w:rPr>
        <w:t xml:space="preserve"> Stock declined ~9% as Block VI contract award failed to materialize by end of May as some had hoped; sector rotation away from defense.</w:t>
      </w:r>
    </w:p>
    <w:p>
      <w:pPr>
        <w:pStyle w:val="ListBullet"/>
        <w:ind w:left="360" w:hanging="360"/>
      </w:pPr>
      <w:r>
        <w:rPr>
          <w:rFonts w:ascii="Calibri" w:hAnsi="Calibri"/>
          <w:b/>
          <w:color w:val="525866"/>
          <w:sz w:val="22"/>
        </w:rPr>
        <w:t>June 11 – June 17:</w:t>
      </w:r>
      <w:r>
        <w:rPr>
          <w:rFonts w:ascii="Calibri" w:hAnsi="Calibri"/>
          <w:color w:val="525866"/>
          <w:sz w:val="22"/>
        </w:rPr>
        <w:t xml:space="preserve"> Brief recovery to ~$300 on broader defense spending news (FY27 budget request, $350B reconciliation package).</w:t>
      </w:r>
    </w:p>
    <w:p>
      <w:pPr>
        <w:pStyle w:val="ListBullet"/>
        <w:ind w:left="360" w:hanging="360"/>
      </w:pPr>
      <w:r>
        <w:rPr>
          <w:rFonts w:ascii="Calibri" w:hAnsi="Calibri"/>
          <w:b/>
          <w:color w:val="525866"/>
          <w:sz w:val="22"/>
        </w:rPr>
        <w:t>June 18 – July 17:</w:t>
      </w:r>
      <w:r>
        <w:rPr>
          <w:rFonts w:ascii="Calibri" w:hAnsi="Calibri"/>
          <w:color w:val="525866"/>
          <w:sz w:val="22"/>
        </w:rPr>
        <w:t xml:space="preserve"> Continued drift lower to ~$269 as ITA rallied on LMT/NOC/RTX beats; HII underperformed as contract award remained pending.</w:t>
      </w:r>
    </w:p>
    <w:p>
      <w:pPr>
        <w:pStyle w:val="ListBullet"/>
        <w:ind w:left="360" w:hanging="360"/>
      </w:pPr>
      <w:r>
        <w:rPr>
          <w:rFonts w:ascii="Calibri" w:hAnsi="Calibri"/>
          <w:b/>
          <w:color w:val="525866"/>
          <w:sz w:val="22"/>
        </w:rPr>
        <w:t>July 21–28:</w:t>
      </w:r>
      <w:r>
        <w:rPr>
          <w:rFonts w:ascii="Calibri" w:hAnsi="Calibri"/>
          <w:color w:val="525866"/>
          <w:sz w:val="22"/>
        </w:rPr>
        <w:t xml:space="preserve"> Recovery to ~$300 as GD Q2 results (July 29) confirmed strong marine momentum and Block VI contracts "coming soon"; pre-earnings positioning.</w:t>
      </w:r>
    </w:p>
    <w:p>
      <w:r>
        <w:rPr>
          <w:rFonts w:ascii="Calibri" w:hAnsi="Calibri"/>
          <w:i/>
          <w:color w:val="525866"/>
          <w:sz w:val="22"/>
        </w:rPr>
        <w:t>Sources: Stock Price Data (Yahoo Finance); HII press releases; GD Q2 2026 Earnings Call Transcript.</w:t>
      </w:r>
    </w:p>
    <w:p>
      <w:r>
        <w:br w:type="page"/>
      </w:r>
    </w:p>
    <w:p>
      <w:pPr>
        <w:pStyle w:val="Heading2"/>
      </w:pPr>
      <w:r>
        <w:rPr>
          <w:rFonts w:ascii="Calibri" w:hAnsi="Calibri"/>
          <w:b/>
          <w:color w:val="3B4259"/>
          <w:sz w:val="28"/>
        </w:rPr>
        <w:t>6. Material News &amp; Developments Since Q1 2026 Earnings</w:t>
      </w:r>
    </w:p>
    <w:p>
      <w:r>
        <w:rPr>
          <w:rFonts w:ascii="Calibri" w:hAnsi="Calibri"/>
          <w:b/>
          <w:color w:val="525866"/>
          <w:sz w:val="22"/>
        </w:rPr>
        <w:t xml:space="preserve">Key Takeaway: </w:t>
      </w:r>
      <w:r>
        <w:rPr>
          <w:rFonts w:ascii="Calibri" w:hAnsi="Calibri"/>
          <w:color w:val="525866"/>
          <w:sz w:val="22"/>
        </w:rPr>
        <w:t>The most important development is GD's July 29 confirmation that Virginia-class Block VI contracts are "coming soon," directly validating HII's Q2 award expectation and removing the single largest overhang on the stock; the FY27 budget request and $350B reconciliation package provide a multi-year demand tailwind that is not yet in guidance.</w:t>
      </w:r>
    </w:p>
    <w:p>
      <w:pPr>
        <w:pStyle w:val="ListBullet"/>
        <w:ind w:left="360" w:hanging="360"/>
      </w:pPr>
      <w:r>
        <w:rPr>
          <w:rFonts w:ascii="Calibri" w:hAnsi="Calibri"/>
          <w:b/>
          <w:color w:val="525866"/>
          <w:sz w:val="22"/>
        </w:rPr>
        <w:t>July 29, 2026 — GD Q2 Earnings: Block VI Contracts "Coming Soon."</w:t>
      </w:r>
      <w:r>
        <w:rPr>
          <w:rFonts w:ascii="Calibri" w:hAnsi="Calibri"/>
          <w:color w:val="525866"/>
          <w:sz w:val="22"/>
        </w:rPr>
        <w:t xml:space="preserve"> General Dynamics CEO Phebe Novakovic confirmed on the Q2 call that Virginia-class Block VI contracts are expected "soon," with the customer and submarine industrial base "aligned around the need for getting these contracts out." This is the most direct external validation of HII's Q2 award expectation and is a significant positive read-through for HII's FCF and backlog.</w:t>
      </w:r>
    </w:p>
    <w:p>
      <w:pPr>
        <w:pStyle w:val="ListBullet"/>
        <w:ind w:left="360" w:hanging="360"/>
      </w:pPr>
      <w:r>
        <w:rPr>
          <w:rFonts w:ascii="Calibri" w:hAnsi="Calibri"/>
          <w:b/>
          <w:color w:val="525866"/>
          <w:sz w:val="22"/>
        </w:rPr>
        <w:t>July 22, 2026 — House Passes $1.15T Defense Bill; $350B Reconciliation Package Advancing.</w:t>
      </w:r>
      <w:r>
        <w:rPr>
          <w:rFonts w:ascii="Calibri" w:hAnsi="Calibri"/>
          <w:color w:val="525866"/>
          <w:sz w:val="22"/>
        </w:rPr>
        <w:t xml:space="preserve"> The House passed a $1.15 trillion defense policy bill and advanced measures to fund the Iran war. The $350B reconciliation package, which includes investments in the U.S. defense industrial base, is progressing through Congress. HII's CEO confirmed at Bernstein that all 6% medium-term revenue growth is "protected in the base budget."</w:t>
      </w:r>
    </w:p>
    <w:p>
      <w:pPr>
        <w:pStyle w:val="ListBullet"/>
        <w:ind w:left="360" w:hanging="360"/>
      </w:pPr>
      <w:r>
        <w:rPr>
          <w:rFonts w:ascii="Calibri" w:hAnsi="Calibri"/>
          <w:b/>
          <w:color w:val="525866"/>
          <w:sz w:val="22"/>
        </w:rPr>
        <w:t>July 21, 2026 — NOC Q2 Earnings: Nuclear Navy Propulsion Growth Confirmed.</w:t>
      </w:r>
      <w:r>
        <w:rPr>
          <w:rFonts w:ascii="Calibri" w:hAnsi="Calibri"/>
          <w:color w:val="525866"/>
          <w:sz w:val="22"/>
        </w:rPr>
        <w:t xml:space="preserve"> Northrop Grumman highlighted that nuclear Navy propulsion work is its "biggest growth driver" in marine, with programs now in production and scaling "throughout this and the next decade." This directly validates the demand environment for HII's submarine programs.</w:t>
      </w:r>
    </w:p>
    <w:p>
      <w:pPr>
        <w:pStyle w:val="ListBullet"/>
        <w:ind w:left="360" w:hanging="360"/>
      </w:pPr>
      <w:r>
        <w:rPr>
          <w:rFonts w:ascii="Calibri" w:hAnsi="Calibri"/>
          <w:b/>
          <w:color w:val="525866"/>
          <w:sz w:val="22"/>
        </w:rPr>
        <w:t>July 23, 2026 — LMT Q2 Earnings: Record $230B Backlog; Guidance Raised 8% YoY.</w:t>
      </w:r>
      <w:r>
        <w:rPr>
          <w:rFonts w:ascii="Calibri" w:hAnsi="Calibri"/>
          <w:color w:val="525866"/>
          <w:sz w:val="22"/>
        </w:rPr>
        <w:t xml:space="preserve"> Lockheed Martin raised FY26 guidance to $79.75–$81.75B (8% YoY growth) with a record $230B backlog. LMT's commentary on "commercially inspired, long-term contracts" and government flexibility signals a favorable contracting environment that could benefit HII's Block VI and Columbia negotiations.</w:t>
      </w:r>
    </w:p>
    <w:p>
      <w:pPr>
        <w:pStyle w:val="ListBullet"/>
        <w:ind w:left="360" w:hanging="360"/>
      </w:pPr>
      <w:r>
        <w:rPr>
          <w:rFonts w:ascii="Calibri" w:hAnsi="Calibri"/>
          <w:b/>
          <w:color w:val="525866"/>
          <w:sz w:val="22"/>
        </w:rPr>
        <w:t>July 23, 2026 — RTX Q2 Earnings: Backlog +22% to $289B; Defense Sales +18%.</w:t>
      </w:r>
      <w:r>
        <w:rPr>
          <w:rFonts w:ascii="Calibri" w:hAnsi="Calibri"/>
          <w:color w:val="525866"/>
          <w:sz w:val="22"/>
        </w:rPr>
        <w:t xml:space="preserve"> RTX's Raytheon defense business grew 18% in Q2, with backlog surging 22% to $289B. The broad-based defense demand environment is a positive read-through for HII's shipbuilding programs.</w:t>
      </w:r>
    </w:p>
    <w:p>
      <w:pPr>
        <w:pStyle w:val="ListBullet"/>
        <w:ind w:left="360" w:hanging="360"/>
      </w:pPr>
      <w:r>
        <w:rPr>
          <w:rFonts w:ascii="Calibri" w:hAnsi="Calibri"/>
          <w:b/>
          <w:color w:val="525866"/>
          <w:sz w:val="22"/>
        </w:rPr>
        <w:t>May 28, 2026 — Bernstein Conference: CEO Reaffirms 6% Growth; Frigate Program Started.</w:t>
      </w:r>
      <w:r>
        <w:rPr>
          <w:rFonts w:ascii="Calibri" w:hAnsi="Calibri"/>
          <w:color w:val="525866"/>
          <w:sz w:val="22"/>
        </w:rPr>
        <w:t xml:space="preserve"> CEO Kastner confirmed the frigate (FF(X)) program has started at Ingalls (first two sole-sourced, ~$800M–$1B), distributed shipbuilding growing 30% in 2026, and Newport News labor situation improving with "better attrition rates" and submarine enterprise "ahead of throughput goals through Q1." The nuclear battleship (Trump class) is "not in guidance" but "broadly supported."</w:t>
      </w:r>
    </w:p>
    <w:p>
      <w:pPr>
        <w:pStyle w:val="ListBullet"/>
        <w:ind w:left="360" w:hanging="360"/>
      </w:pPr>
      <w:r>
        <w:rPr>
          <w:rFonts w:ascii="Calibri" w:hAnsi="Calibri"/>
          <w:b/>
          <w:color w:val="525866"/>
          <w:sz w:val="22"/>
        </w:rPr>
        <w:t>May 5, 2026 — Q1 2026 Earnings: $4B Contract Awards; CVN 79 Builder's Trials Complete.</w:t>
      </w:r>
      <w:r>
        <w:rPr>
          <w:rFonts w:ascii="Calibri" w:hAnsi="Calibri"/>
          <w:color w:val="525866"/>
          <w:sz w:val="22"/>
        </w:rPr>
        <w:t xml:space="preserve"> HII reported $4B in Q1 contract awards, bringing backlog to $54B. CVN 79 (John F. Kennedy) completed builder's sea trials; acceptance trials planned for later in 2026. Mission Technologies awarded positions on $25B ATSP5 and $151B MDA SHIELD contracts, plus a new $500M cyber defense contract.</w:t>
      </w:r>
    </w:p>
    <w:p>
      <w:pPr>
        <w:pStyle w:val="ListBullet"/>
        <w:ind w:left="360" w:hanging="360"/>
      </w:pPr>
      <w:r>
        <w:rPr>
          <w:rFonts w:ascii="Calibri" w:hAnsi="Calibri"/>
          <w:b/>
          <w:color w:val="525866"/>
          <w:sz w:val="22"/>
        </w:rPr>
        <w:t>July 18–19, 2026 — Navy FY27 Budget: $65.8B Requested (+~40% vs. FY26).</w:t>
      </w:r>
      <w:r>
        <w:rPr>
          <w:rFonts w:ascii="Calibri" w:hAnsi="Calibri"/>
          <w:color w:val="525866"/>
          <w:sz w:val="22"/>
        </w:rPr>
        <w:t xml:space="preserve"> The Navy's FY27 budget request of $65.8B — approximately $18B or ~40% more than FY26 — includes funding for 2 Virginia-class submarines, 1 Columbia-class, 2 amphibious ships, 1 DDG-51, and the first FFX frigate. This represents years of expected revenue for HII and is not yet reflected in guidance.</w:t>
      </w:r>
    </w:p>
    <w:p>
      <w:pPr>
        <w:pStyle w:val="ListBullet"/>
        <w:ind w:left="360" w:hanging="360"/>
      </w:pPr>
      <w:r>
        <w:rPr>
          <w:rFonts w:ascii="Calibri" w:hAnsi="Calibri"/>
          <w:b/>
          <w:color w:val="525866"/>
          <w:sz w:val="22"/>
        </w:rPr>
        <w:t>July 20, 2026 — Trump Executive Order: Defense Supply Chain Screening Required.</w:t>
      </w:r>
      <w:r>
        <w:rPr>
          <w:rFonts w:ascii="Calibri" w:hAnsi="Calibri"/>
          <w:color w:val="525866"/>
          <w:sz w:val="22"/>
        </w:rPr>
        <w:t xml:space="preserve"> President Trump signed an EO requiring defense contractors to screen supply chains and eliminate foreign (including Chinese) suppliers. HII's distributed shipbuilding strategy and domestic industrial base focus position it well, but compliance costs and timeline requirements could add near-term friction.</w:t>
      </w:r>
    </w:p>
    <w:p>
      <w:pPr>
        <w:pStyle w:val="ListBullet"/>
        <w:ind w:left="360" w:hanging="360"/>
      </w:pPr>
      <w:r>
        <w:rPr>
          <w:rFonts w:ascii="Calibri" w:hAnsi="Calibri"/>
          <w:b/>
          <w:color w:val="525866"/>
          <w:sz w:val="22"/>
        </w:rPr>
        <w:t>July 16, 2026 — Saronic Announces $3.2B Autonomous Shipyard at Brownsville, TX.</w:t>
      </w:r>
      <w:r>
        <w:rPr>
          <w:rFonts w:ascii="Calibri" w:hAnsi="Calibri"/>
          <w:color w:val="525866"/>
          <w:sz w:val="22"/>
        </w:rPr>
        <w:t xml:space="preserve"> Autonomous ship builder Saronic announced a $3.2B investment to build a next-generation shipyard for medium-to-large autonomous surface vessels. While not a direct competitor to HII's nuclear programs, this signals growing private investment in autonomous naval platforms — an area where HII's Mission Technologies (Odyssey autonomy suite) is also competing.</w:t>
      </w:r>
    </w:p>
    <w:p>
      <w:r>
        <w:br w:type="page"/>
      </w:r>
    </w:p>
    <w:p>
      <w:pPr>
        <w:pStyle w:val="Heading2"/>
      </w:pPr>
      <w:r>
        <w:rPr>
          <w:rFonts w:ascii="Calibri" w:hAnsi="Calibri"/>
          <w:b/>
          <w:color w:val="3B4259"/>
          <w:sz w:val="28"/>
        </w:rPr>
        <w:t>7. Peer Commentaries &amp; Read-Throughs (Last 60 Days — Current Quarter / Forward-Looking Only)</w:t>
      </w:r>
    </w:p>
    <w:p>
      <w:r>
        <w:rPr>
          <w:rFonts w:ascii="Calibri" w:hAnsi="Calibri"/>
          <w:b/>
          <w:color w:val="525866"/>
          <w:sz w:val="22"/>
        </w:rPr>
        <w:t xml:space="preserve">Key Takeaway: </w:t>
      </w:r>
      <w:r>
        <w:rPr>
          <w:rFonts w:ascii="Calibri" w:hAnsi="Calibri"/>
          <w:color w:val="525866"/>
          <w:sz w:val="22"/>
        </w:rPr>
        <w:t>Peer commentary from GD, NOC, and LMT in the last 60 days is uniformly positive for HII's Q2 setup — GD's marine segment showed 10.4% revenue growth with measurable productivity gains and confirmed Block VI contracts are imminent, NOC confirmed nuclear Navy propulsion is its biggest growth driver, and LMT's record backlog and raised guidance signal a robust demand environment that directly benefits HII's programs.</w:t>
      </w:r>
    </w:p>
    <w:p>
      <w:r>
        <w:rPr>
          <w:rFonts w:ascii="Calibri" w:hAnsi="Calibri"/>
          <w:b/>
          <w:color w:val="525866"/>
          <w:sz w:val="22"/>
        </w:rPr>
        <w:t xml:space="preserve">Note: </w:t>
      </w:r>
      <w:r>
        <w:rPr>
          <w:rFonts w:ascii="Calibri" w:hAnsi="Calibri"/>
          <w:i/>
          <w:color w:val="525866"/>
          <w:sz w:val="22"/>
        </w:rPr>
        <w:t>Only commentary about Q2 2026 (current reporting quarter) or forward-looking statements made after HII's May 5, 2026 Q1 earnings are included below. Backward-looking discussion of peers' own prior-quarter results has been excluded.</w:t>
      </w:r>
    </w:p>
    <w:p>
      <w:pPr>
        <w:pStyle w:val="Heading3"/>
      </w:pPr>
      <w:r>
        <w:rPr>
          <w:rFonts w:ascii="Calibri" w:hAnsi="Calibri"/>
          <w:b/>
          <w:color w:val="3B4259"/>
          <w:sz w:val="24"/>
        </w:rPr>
        <w:t>General Dynamics (GD) — Q2 2026 Earnings Call (July 29, 2026)</w:t>
      </w:r>
    </w:p>
    <w:p>
      <w:r>
        <w:rPr>
          <w:rFonts w:ascii="Calibri" w:hAnsi="Calibri"/>
          <w:b/>
          <w:color w:val="525866"/>
          <w:sz w:val="22"/>
        </w:rPr>
        <w:t>Relevance: HIGHEST — GD is HII's direct co-builder on Virginia-class and Columbia-class submarines (Electric Boat) and a surface combatant builder (Bath Iron Works). GD's marine commentary is the most direct read-through available.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GD Commentary (Q2 2026 Call)</w:t>
            </w:r>
          </w:p>
        </w:tc>
        <w:tc>
          <w:tcPr>
            <w:tcW w:type="dxa" w:w="2880"/>
            <w:shd w:val="clear" w:color="auto" w:fill="3B4259"/>
          </w:tcPr>
          <w:p>
            <w:r>
              <w:rPr>
                <w:rFonts w:ascii="Calibri" w:hAnsi="Calibri"/>
                <w:b/>
                <w:color w:val="FFFFFF"/>
                <w:sz w:val="22"/>
              </w:rPr>
              <w:t>Read-Through to HII</w:t>
            </w:r>
          </w:p>
        </w:tc>
      </w:tr>
      <w:tr>
        <w:tc>
          <w:tcPr>
            <w:tcW w:type="dxa" w:w="2880"/>
          </w:tcPr>
          <w:p>
            <w:r>
              <w:rPr>
                <w:rFonts w:ascii="Calibri" w:hAnsi="Calibri"/>
                <w:sz w:val="22"/>
              </w:rPr>
              <w:t>Block VI Contract Timing</w:t>
            </w:r>
          </w:p>
        </w:tc>
        <w:tc>
          <w:tcPr>
            <w:tcW w:type="dxa" w:w="2880"/>
          </w:tcPr>
          <w:p>
            <w:r>
              <w:rPr>
                <w:rFonts w:ascii="Calibri" w:hAnsi="Calibri"/>
                <w:sz w:val="22"/>
              </w:rPr>
              <w:t>"We're told that these contracts will be coming soon." CEO Novakovic confirmed the customer and submarine industrial base are "aligned around the need for getting these contracts out, particularly to stabilize the industrial base."</w:t>
            </w:r>
          </w:p>
        </w:tc>
        <w:tc>
          <w:tcPr>
            <w:tcW w:type="dxa" w:w="2880"/>
          </w:tcPr>
          <w:p>
            <w:r>
              <w:rPr>
                <w:rFonts w:ascii="Calibri" w:hAnsi="Calibri"/>
                <w:b/>
                <w:color w:val="30A46C"/>
                <w:sz w:val="22"/>
              </w:rPr>
              <w:t>Directly validates HII's Q2 award expectation. If confirmed on HII's call, unlocks H2 FCF and removes the #1 stock overhang.</w:t>
            </w:r>
          </w:p>
        </w:tc>
      </w:tr>
      <w:tr>
        <w:tc>
          <w:tcPr>
            <w:tcW w:type="dxa" w:w="2880"/>
          </w:tcPr>
          <w:p>
            <w:r>
              <w:rPr>
                <w:rFonts w:ascii="Calibri" w:hAnsi="Calibri"/>
                <w:sz w:val="22"/>
              </w:rPr>
              <w:t>Marine Revenue Growth &amp; Productivity</w:t>
            </w:r>
          </w:p>
        </w:tc>
        <w:tc>
          <w:tcPr>
            <w:tcW w:type="dxa" w:w="2880"/>
          </w:tcPr>
          <w:p>
            <w:r>
              <w:rPr>
                <w:rFonts w:ascii="Calibri" w:hAnsi="Calibri"/>
                <w:sz w:val="22"/>
              </w:rPr>
              <w:t>Marine Systems revenue grew 10.4% in Q2, driven by Columbia and Virginia class programs. Earnings improved 17.5% on a 40 bps margin improvement, with "clear and measurable productivity gains."</w:t>
            </w:r>
          </w:p>
        </w:tc>
        <w:tc>
          <w:tcPr>
            <w:tcW w:type="dxa" w:w="2880"/>
          </w:tcPr>
          <w:p>
            <w:r>
              <w:rPr>
                <w:rFonts w:ascii="Calibri" w:hAnsi="Calibri"/>
                <w:b/>
                <w:color w:val="30A46C"/>
                <w:sz w:val="22"/>
              </w:rPr>
              <w:t>Strong GD marine growth and margin improvement suggests the submarine industrial base is executing well — positive for HII's Newport News throughput narrative.</w:t>
            </w:r>
          </w:p>
        </w:tc>
      </w:tr>
      <w:tr>
        <w:tc>
          <w:tcPr>
            <w:tcW w:type="dxa" w:w="2880"/>
          </w:tcPr>
          <w:p>
            <w:r>
              <w:rPr>
                <w:rFonts w:ascii="Calibri" w:hAnsi="Calibri"/>
                <w:sz w:val="22"/>
              </w:rPr>
              <w:t>Columbia Program Hours Earned</w:t>
            </w:r>
          </w:p>
        </w:tc>
        <w:tc>
          <w:tcPr>
            <w:tcW w:type="dxa" w:w="2880"/>
          </w:tcPr>
          <w:p>
            <w:r>
              <w:rPr>
                <w:rFonts w:ascii="Calibri" w:hAnsi="Calibri"/>
                <w:sz w:val="22"/>
              </w:rPr>
              <w:t>"Hours earned are up 37% versus the same period last year" on the Columbia program at Electric Boat. "Momentum continues to build at each of our shipyards."</w:t>
            </w:r>
          </w:p>
        </w:tc>
        <w:tc>
          <w:tcPr>
            <w:tcW w:type="dxa" w:w="2880"/>
          </w:tcPr>
          <w:p>
            <w:r>
              <w:rPr>
                <w:rFonts w:ascii="Calibri" w:hAnsi="Calibri"/>
                <w:b/>
                <w:color w:val="30A46C"/>
                <w:sz w:val="22"/>
              </w:rPr>
              <w:t>HII is the other Columbia builder. A 37% increase in hours earned at EB implies similar throughput acceleration is achievable/expected at Newport News.</w:t>
            </w:r>
          </w:p>
        </w:tc>
      </w:tr>
      <w:tr>
        <w:tc>
          <w:tcPr>
            <w:tcW w:type="dxa" w:w="2880"/>
          </w:tcPr>
          <w:p>
            <w:r>
              <w:rPr>
                <w:rFonts w:ascii="Calibri" w:hAnsi="Calibri"/>
                <w:sz w:val="22"/>
              </w:rPr>
              <w:t>DDG-51 Delivery Acceleration</w:t>
            </w:r>
          </w:p>
        </w:tc>
        <w:tc>
          <w:tcPr>
            <w:tcW w:type="dxa" w:w="2880"/>
          </w:tcPr>
          <w:p>
            <w:r>
              <w:rPr>
                <w:rFonts w:ascii="Calibri" w:hAnsi="Calibri"/>
                <w:sz w:val="22"/>
              </w:rPr>
              <w:t>Bath Iron Works' most recent DDG-51 delivery was "accelerated by almost three months versus planned due to the excellent performance of the ship in its sea trial."</w:t>
            </w:r>
          </w:p>
        </w:tc>
        <w:tc>
          <w:tcPr>
            <w:tcW w:type="dxa" w:w="2880"/>
          </w:tcPr>
          <w:p>
            <w:r>
              <w:rPr>
                <w:rFonts w:ascii="Calibri" w:hAnsi="Calibri"/>
                <w:b/>
                <w:color w:val="30A46C"/>
                <w:sz w:val="22"/>
              </w:rPr>
              <w:t>HII's Ingalls builds DDG-51s. Accelerated delivery at Bath suggests industry-wide improvement in destroyer execution; positive for HII's Ingalls margin trajectory.</w:t>
            </w:r>
          </w:p>
        </w:tc>
      </w:tr>
      <w:tr>
        <w:tc>
          <w:tcPr>
            <w:tcW w:type="dxa" w:w="2880"/>
          </w:tcPr>
          <w:p>
            <w:r>
              <w:rPr>
                <w:rFonts w:ascii="Calibri" w:hAnsi="Calibri"/>
                <w:sz w:val="22"/>
              </w:rPr>
              <w:t>Submarine Build Rate Path</w:t>
            </w:r>
          </w:p>
        </w:tc>
        <w:tc>
          <w:tcPr>
            <w:tcW w:type="dxa" w:w="2880"/>
          </w:tcPr>
          <w:p>
            <w:r>
              <w:rPr>
                <w:rFonts w:ascii="Calibri" w:hAnsi="Calibri"/>
                <w:sz w:val="22"/>
              </w:rPr>
              <w:t>GD confirmed it is "on that path" to 2 Virginia-class + 1 Columbia by early 2030s and is "actually where we expect to be at this point in the process."</w:t>
            </w:r>
          </w:p>
        </w:tc>
        <w:tc>
          <w:tcPr>
            <w:tcW w:type="dxa" w:w="2880"/>
          </w:tcPr>
          <w:p>
            <w:r>
              <w:rPr>
                <w:rFonts w:ascii="Calibri" w:hAnsi="Calibri"/>
                <w:b/>
                <w:color w:val="30A46C"/>
                <w:sz w:val="22"/>
              </w:rPr>
              <w:t>Confirms the industry is on track for the build rate ramp that underpins HII's 6% medium-term revenue growth guidance.</w:t>
            </w:r>
          </w:p>
        </w:tc>
      </w:tr>
      <w:tr>
        <w:tc>
          <w:tcPr>
            <w:tcW w:type="dxa" w:w="2880"/>
          </w:tcPr>
          <w:p>
            <w:r>
              <w:rPr>
                <w:rFonts w:ascii="Calibri" w:hAnsi="Calibri"/>
                <w:sz w:val="22"/>
              </w:rPr>
              <w:t>Supply Chain</w:t>
            </w:r>
          </w:p>
        </w:tc>
        <w:tc>
          <w:tcPr>
            <w:tcW w:type="dxa" w:w="2880"/>
          </w:tcPr>
          <w:p>
            <w:r>
              <w:rPr>
                <w:rFonts w:ascii="Calibri" w:hAnsi="Calibri"/>
                <w:sz w:val="22"/>
              </w:rPr>
              <w:t>"Significant improvements in their pace and the cadence of delivery" in the submarine supply chain, though "still some challenging areas where we have single sources of supply."</w:t>
            </w:r>
          </w:p>
        </w:tc>
        <w:tc>
          <w:tcPr>
            <w:tcW w:type="dxa" w:w="2880"/>
          </w:tcPr>
          <w:p>
            <w:r>
              <w:rPr>
                <w:rFonts w:ascii="Calibri" w:hAnsi="Calibri"/>
                <w:sz w:val="22"/>
              </w:rPr>
              <w:t>Improving supply chain reduces a key execution risk for HII's Newport News programs, though single-source risks remain a watch item.</w:t>
            </w:r>
          </w:p>
        </w:tc>
      </w:tr>
      <w:tr>
        <w:tc>
          <w:tcPr>
            <w:tcW w:type="dxa" w:w="2880"/>
          </w:tcPr>
          <w:p>
            <w:r>
              <w:rPr>
                <w:rFonts w:ascii="Calibri" w:hAnsi="Calibri"/>
                <w:sz w:val="22"/>
              </w:rPr>
              <w:t>Marine Growth Outlook</w:t>
            </w:r>
          </w:p>
        </w:tc>
        <w:tc>
          <w:tcPr>
            <w:tcW w:type="dxa" w:w="2880"/>
          </w:tcPr>
          <w:p>
            <w:r>
              <w:rPr>
                <w:rFonts w:ascii="Calibri" w:hAnsi="Calibri"/>
                <w:sz w:val="22"/>
              </w:rPr>
              <w:t>"We don't have any expectation that it will slow down much because there's just volume out there that we have to execute on."</w:t>
            </w:r>
          </w:p>
        </w:tc>
        <w:tc>
          <w:tcPr>
            <w:tcW w:type="dxa" w:w="2880"/>
          </w:tcPr>
          <w:p>
            <w:r>
              <w:rPr>
                <w:rFonts w:ascii="Calibri" w:hAnsi="Calibri"/>
                <w:b/>
                <w:color w:val="30A46C"/>
                <w:sz w:val="22"/>
              </w:rPr>
              <w:t>Sustained demand environment for naval shipbuilding directly benefits HII's multi-year backlog and revenue visibility.</w:t>
            </w:r>
          </w:p>
        </w:tc>
      </w:tr>
      <w:tr>
        <w:tc>
          <w:tcPr>
            <w:tcW w:type="dxa" w:w="2880"/>
          </w:tcPr>
          <w:p>
            <w:r>
              <w:rPr>
                <w:rFonts w:ascii="Calibri" w:hAnsi="Calibri"/>
                <w:sz w:val="22"/>
              </w:rPr>
              <w:t>Workforce</w:t>
            </w:r>
          </w:p>
        </w:tc>
        <w:tc>
          <w:tcPr>
            <w:tcW w:type="dxa" w:w="2880"/>
          </w:tcPr>
          <w:p>
            <w:r>
              <w:rPr>
                <w:rFonts w:ascii="Calibri" w:hAnsi="Calibri"/>
                <w:sz w:val="22"/>
              </w:rPr>
              <w:t>"We've been really pleased with our ability to attract and retain the necessary number of workers in our shipyards. The Navy's been a great help with that."</w:t>
            </w:r>
          </w:p>
        </w:tc>
        <w:tc>
          <w:tcPr>
            <w:tcW w:type="dxa" w:w="2880"/>
          </w:tcPr>
          <w:p>
            <w:r>
              <w:rPr>
                <w:rFonts w:ascii="Calibri" w:hAnsi="Calibri"/>
                <w:b/>
                <w:color w:val="30A46C"/>
                <w:sz w:val="22"/>
              </w:rPr>
              <w:t>Positive labor read-through for HII, which has also cited improving retention at Newport News following wage adjustments. Navy support for workforce is an industry-wide tailwind.</w:t>
            </w:r>
          </w:p>
        </w:tc>
      </w:tr>
    </w:tbl>
    <w:p>
      <w:pPr>
        <w:pStyle w:val="Heading3"/>
      </w:pPr>
      <w:r>
        <w:rPr>
          <w:rFonts w:ascii="Calibri" w:hAnsi="Calibri"/>
          <w:b/>
          <w:color w:val="3B4259"/>
          <w:sz w:val="24"/>
        </w:rPr>
        <w:t>Northrop Grumman (NOC) — Q2 2026 Earnings Call (July 21, 2026)</w:t>
      </w:r>
    </w:p>
    <w:p>
      <w:r>
        <w:rPr>
          <w:rFonts w:ascii="Calibri" w:hAnsi="Calibri"/>
          <w:b/>
          <w:color w:val="525866"/>
          <w:sz w:val="22"/>
        </w:rPr>
        <w:t>Relevance: HIGH — NOC is a key supplier to the nuclear Navy (propulsion systems) and a major defense contractor with direct exposure to the same budget and program environment as HII.</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NOC Commentary (Q2 2026 Call)</w:t>
            </w:r>
          </w:p>
        </w:tc>
        <w:tc>
          <w:tcPr>
            <w:tcW w:type="dxa" w:w="2880"/>
            <w:shd w:val="clear" w:color="auto" w:fill="3B4259"/>
          </w:tcPr>
          <w:p>
            <w:r>
              <w:rPr>
                <w:rFonts w:ascii="Calibri" w:hAnsi="Calibri"/>
                <w:b/>
                <w:color w:val="FFFFFF"/>
                <w:sz w:val="22"/>
              </w:rPr>
              <w:t>Read-Through to HII</w:t>
            </w:r>
          </w:p>
        </w:tc>
      </w:tr>
      <w:tr>
        <w:tc>
          <w:tcPr>
            <w:tcW w:type="dxa" w:w="2880"/>
          </w:tcPr>
          <w:p>
            <w:r>
              <w:rPr>
                <w:rFonts w:ascii="Calibri" w:hAnsi="Calibri"/>
                <w:sz w:val="22"/>
              </w:rPr>
              <w:t>Nuclear Navy Propulsion</w:t>
            </w:r>
          </w:p>
        </w:tc>
        <w:tc>
          <w:tcPr>
            <w:tcW w:type="dxa" w:w="2880"/>
          </w:tcPr>
          <w:p>
            <w:r>
              <w:rPr>
                <w:rFonts w:ascii="Calibri" w:hAnsi="Calibri"/>
                <w:sz w:val="22"/>
              </w:rPr>
              <w:t>Nuclear Navy propulsion is NOC's "biggest growth driver" in marine, with programs now in production and expected to be "a key growth driver and performance driver for the foreseeable future." Programs have "come out of development and now [are] in production."</w:t>
            </w:r>
          </w:p>
        </w:tc>
        <w:tc>
          <w:tcPr>
            <w:tcW w:type="dxa" w:w="2880"/>
          </w:tcPr>
          <w:p>
            <w:r>
              <w:rPr>
                <w:rFonts w:ascii="Calibri" w:hAnsi="Calibri"/>
                <w:b/>
                <w:color w:val="30A46C"/>
                <w:sz w:val="22"/>
              </w:rPr>
              <w:t>NOC's propulsion systems go into HII-built submarines and carriers. Production ramp at NOC directly supports HII's ability to accelerate submarine delivery cadence.</w:t>
            </w:r>
          </w:p>
        </w:tc>
      </w:tr>
      <w:tr>
        <w:tc>
          <w:tcPr>
            <w:tcW w:type="dxa" w:w="2880"/>
          </w:tcPr>
          <w:p>
            <w:r>
              <w:rPr>
                <w:rFonts w:ascii="Calibri" w:hAnsi="Calibri"/>
                <w:sz w:val="22"/>
              </w:rPr>
              <w:t>Defense Budget / FY27</w:t>
            </w:r>
          </w:p>
        </w:tc>
        <w:tc>
          <w:tcPr>
            <w:tcW w:type="dxa" w:w="2880"/>
          </w:tcPr>
          <w:p>
            <w:r>
              <w:rPr>
                <w:rFonts w:ascii="Calibri" w:hAnsi="Calibri"/>
                <w:sz w:val="22"/>
              </w:rPr>
              <w:t>House and Senate Armed Services Committees supported $1.1T in FY27 base budget (+10% vs. FY26). $67B supplemental request and $350B reconciliation package advancing. "Core programs remain well supported in the base budget."</w:t>
            </w:r>
          </w:p>
        </w:tc>
        <w:tc>
          <w:tcPr>
            <w:tcW w:type="dxa" w:w="2880"/>
          </w:tcPr>
          <w:p>
            <w:r>
              <w:rPr>
                <w:rFonts w:ascii="Calibri" w:hAnsi="Calibri"/>
                <w:b/>
                <w:color w:val="30A46C"/>
                <w:sz w:val="22"/>
              </w:rPr>
              <w:t>HII's CEO confirmed all 6% medium-term growth is in the base budget. The 10% FY27 budget increase and reconciliation package represent upside to current guidance.</w:t>
            </w:r>
          </w:p>
        </w:tc>
      </w:tr>
      <w:tr>
        <w:tc>
          <w:tcPr>
            <w:tcW w:type="dxa" w:w="2880"/>
          </w:tcPr>
          <w:p>
            <w:r>
              <w:rPr>
                <w:rFonts w:ascii="Calibri" w:hAnsi="Calibri"/>
                <w:sz w:val="22"/>
              </w:rPr>
              <w:t>Demand Environment</w:t>
            </w:r>
          </w:p>
        </w:tc>
        <w:tc>
          <w:tcPr>
            <w:tcW w:type="dxa" w:w="2880"/>
          </w:tcPr>
          <w:p>
            <w:r>
              <w:rPr>
                <w:rFonts w:ascii="Calibri" w:hAnsi="Calibri"/>
                <w:sz w:val="22"/>
              </w:rPr>
              <w:t>"Significant opportunity and increased demand for our portfolio." Expects "continued strong bookings" and "increased momentum in government outlays." Full-year book-to-bill of at least 1.25x. "Rapidly expanding backlog provides a strong foundation for growth."</w:t>
            </w:r>
          </w:p>
        </w:tc>
        <w:tc>
          <w:tcPr>
            <w:tcW w:type="dxa" w:w="2880"/>
          </w:tcPr>
          <w:p>
            <w:r>
              <w:rPr>
                <w:rFonts w:ascii="Calibri" w:hAnsi="Calibri"/>
                <w:b/>
                <w:color w:val="30A46C"/>
                <w:sz w:val="22"/>
              </w:rPr>
              <w:t>Broad-based defense demand environment is a positive read-through for HII's backlog growth and new award potential.</w:t>
            </w:r>
          </w:p>
        </w:tc>
      </w:tr>
      <w:tr>
        <w:tc>
          <w:tcPr>
            <w:tcW w:type="dxa" w:w="2880"/>
          </w:tcPr>
          <w:p>
            <w:r>
              <w:rPr>
                <w:rFonts w:ascii="Calibri" w:hAnsi="Calibri"/>
                <w:sz w:val="22"/>
              </w:rPr>
              <w:t>Program Execution</w:t>
            </w:r>
          </w:p>
        </w:tc>
        <w:tc>
          <w:tcPr>
            <w:tcW w:type="dxa" w:w="2880"/>
          </w:tcPr>
          <w:p>
            <w:r>
              <w:rPr>
                <w:rFonts w:ascii="Calibri" w:hAnsi="Calibri"/>
                <w:sz w:val="22"/>
              </w:rPr>
              <w:t>Nuclear Navy propulsion team is "executing very well to drive schedule improvement and improve overall performance, thus margins." Added resources (people and infrastructure) to execute plans.</w:t>
            </w:r>
          </w:p>
        </w:tc>
        <w:tc>
          <w:tcPr>
            <w:tcW w:type="dxa" w:w="2880"/>
          </w:tcPr>
          <w:p>
            <w:r>
              <w:rPr>
                <w:rFonts w:ascii="Calibri" w:hAnsi="Calibri"/>
                <w:sz w:val="22"/>
              </w:rPr>
              <w:t>Improving execution at NOC on nuclear propulsion reduces a key supply chain risk for HII's carrier and submarine programs.</w:t>
            </w:r>
          </w:p>
        </w:tc>
      </w:tr>
    </w:tbl>
    <w:p>
      <w:pPr>
        <w:pStyle w:val="Heading3"/>
      </w:pPr>
      <w:r>
        <w:rPr>
          <w:rFonts w:ascii="Calibri" w:hAnsi="Calibri"/>
          <w:b/>
          <w:color w:val="3B4259"/>
          <w:sz w:val="24"/>
        </w:rPr>
        <w:t>Lockheed Martin (LMT) — Q2 2026 Earnings Call (July 23, 2026)</w:t>
      </w:r>
    </w:p>
    <w:p>
      <w:r>
        <w:rPr>
          <w:rFonts w:ascii="Calibri" w:hAnsi="Calibri"/>
          <w:b/>
          <w:color w:val="525866"/>
          <w:sz w:val="22"/>
        </w:rPr>
        <w:t>Relevance: MODERATE-HIGH — LMT is a major defense contractor with exposure to the same budget environment and is a key integrator of systems deployed on HII-built ships (Aegis, Trident II, sea-based hypersonics).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LMT Commentary (Q2 2026 Call)</w:t>
            </w:r>
          </w:p>
        </w:tc>
        <w:tc>
          <w:tcPr>
            <w:tcW w:type="dxa" w:w="2880"/>
            <w:shd w:val="clear" w:color="auto" w:fill="3B4259"/>
          </w:tcPr>
          <w:p>
            <w:r>
              <w:rPr>
                <w:rFonts w:ascii="Calibri" w:hAnsi="Calibri"/>
                <w:b/>
                <w:color w:val="FFFFFF"/>
                <w:sz w:val="22"/>
              </w:rPr>
              <w:t>Read-Through to HII</w:t>
            </w:r>
          </w:p>
        </w:tc>
      </w:tr>
      <w:tr>
        <w:tc>
          <w:tcPr>
            <w:tcW w:type="dxa" w:w="2880"/>
          </w:tcPr>
          <w:p>
            <w:r>
              <w:rPr>
                <w:rFonts w:ascii="Calibri" w:hAnsi="Calibri"/>
                <w:sz w:val="22"/>
              </w:rPr>
              <w:t>Defense Demand &amp; Guidance Raise</w:t>
            </w:r>
          </w:p>
        </w:tc>
        <w:tc>
          <w:tcPr>
            <w:tcW w:type="dxa" w:w="2880"/>
          </w:tcPr>
          <w:p>
            <w:r>
              <w:rPr>
                <w:rFonts w:ascii="Calibri" w:hAnsi="Calibri"/>
                <w:sz w:val="22"/>
              </w:rPr>
              <w:t>Raised FY26 guidance to $79.75–$81.75B (8% YoY growth at midpoint, up from prior 5% guide). Record $230B backlog (+38% YoY). "Every segment at Lockheed Martin will grow faster in the back half of 2026."</w:t>
            </w:r>
          </w:p>
        </w:tc>
        <w:tc>
          <w:tcPr>
            <w:tcW w:type="dxa" w:w="2880"/>
          </w:tcPr>
          <w:p>
            <w:r>
              <w:rPr>
                <w:rFonts w:ascii="Calibri" w:hAnsi="Calibri"/>
                <w:b/>
                <w:color w:val="30A46C"/>
                <w:sz w:val="22"/>
              </w:rPr>
              <w:t>Broad-based defense demand acceleration is a positive read-through for HII's shipbuilding programs and potential for guidance raise.</w:t>
            </w:r>
          </w:p>
        </w:tc>
      </w:tr>
      <w:tr>
        <w:tc>
          <w:tcPr>
            <w:tcW w:type="dxa" w:w="2880"/>
          </w:tcPr>
          <w:p>
            <w:r>
              <w:rPr>
                <w:rFonts w:ascii="Calibri" w:hAnsi="Calibri"/>
                <w:sz w:val="22"/>
              </w:rPr>
              <w:t>Trident II Production Facility</w:t>
            </w:r>
          </w:p>
        </w:tc>
        <w:tc>
          <w:tcPr>
            <w:tcW w:type="dxa" w:w="2880"/>
          </w:tcPr>
          <w:p>
            <w:r>
              <w:rPr>
                <w:rFonts w:ascii="Calibri" w:hAnsi="Calibri"/>
                <w:sz w:val="22"/>
              </w:rPr>
              <w:t>Making progress on new Titusville, FL facility to "support critical development of the Trident II missile" — the submarine-launched ballistic missile for Columbia-class submarines.</w:t>
            </w:r>
          </w:p>
        </w:tc>
        <w:tc>
          <w:tcPr>
            <w:tcW w:type="dxa" w:w="2880"/>
          </w:tcPr>
          <w:p>
            <w:r>
              <w:rPr>
                <w:rFonts w:ascii="Calibri" w:hAnsi="Calibri"/>
                <w:b/>
                <w:color w:val="30A46C"/>
                <w:sz w:val="22"/>
              </w:rPr>
              <w:t>Trident II is the payload for Columbia-class submarines built by HII. LMT's production ramp directly supports the Columbia program's strategic importance and funding priority.</w:t>
            </w:r>
          </w:p>
        </w:tc>
      </w:tr>
      <w:tr>
        <w:tc>
          <w:tcPr>
            <w:tcW w:type="dxa" w:w="2880"/>
          </w:tcPr>
          <w:p>
            <w:r>
              <w:rPr>
                <w:rFonts w:ascii="Calibri" w:hAnsi="Calibri"/>
                <w:sz w:val="22"/>
              </w:rPr>
              <w:t>Sea-Based Hypersonics</w:t>
            </w:r>
          </w:p>
        </w:tc>
        <w:tc>
          <w:tcPr>
            <w:tcW w:type="dxa" w:w="2880"/>
          </w:tcPr>
          <w:p>
            <w:r>
              <w:rPr>
                <w:rFonts w:ascii="Calibri" w:hAnsi="Calibri"/>
                <w:sz w:val="22"/>
              </w:rPr>
              <w:t>Conventional Prompt Strike contract modifications totaling $1.4B for "sea-based hypersonic strike weapon system" development.</w:t>
            </w:r>
          </w:p>
        </w:tc>
        <w:tc>
          <w:tcPr>
            <w:tcW w:type="dxa" w:w="2880"/>
          </w:tcPr>
          <w:p>
            <w:r>
              <w:rPr>
                <w:rFonts w:ascii="Calibri" w:hAnsi="Calibri"/>
                <w:b/>
                <w:color w:val="30A46C"/>
                <w:sz w:val="22"/>
              </w:rPr>
              <w:t>Sea-based deployment implies integration on Navy surface ships and submarines built by HII, supporting future design and integration work.</w:t>
            </w:r>
          </w:p>
        </w:tc>
      </w:tr>
      <w:tr>
        <w:tc>
          <w:tcPr>
            <w:tcW w:type="dxa" w:w="2880"/>
          </w:tcPr>
          <w:p>
            <w:r>
              <w:rPr>
                <w:rFonts w:ascii="Calibri" w:hAnsi="Calibri"/>
                <w:sz w:val="22"/>
              </w:rPr>
              <w:t>Long-Term Contract Structures</w:t>
            </w:r>
          </w:p>
        </w:tc>
        <w:tc>
          <w:tcPr>
            <w:tcW w:type="dxa" w:w="2880"/>
          </w:tcPr>
          <w:p>
            <w:r>
              <w:rPr>
                <w:rFonts w:ascii="Calibri" w:hAnsi="Calibri"/>
                <w:sz w:val="22"/>
              </w:rPr>
              <w:t>Government embracing "commercially inspired, long-term, enforceable agreements" where contractors retain efficiency gains rather than giving them back through cost analysis. "Faster, faster, faster" is the Deputy Secretary's message.</w:t>
            </w:r>
          </w:p>
        </w:tc>
        <w:tc>
          <w:tcPr>
            <w:tcW w:type="dxa" w:w="2880"/>
          </w:tcPr>
          <w:p>
            <w:r>
              <w:rPr>
                <w:rFonts w:ascii="Calibri" w:hAnsi="Calibri"/>
                <w:b/>
                <w:color w:val="30A46C"/>
                <w:sz w:val="22"/>
              </w:rPr>
              <w:t>If this contracting philosophy extends to shipbuilding, it would be transformative for HII's margin trajectory on Block VI and future contracts — a potential upside not in current guidance.</w:t>
            </w:r>
          </w:p>
        </w:tc>
      </w:tr>
      <w:tr>
        <w:tc>
          <w:tcPr>
            <w:tcW w:type="dxa" w:w="2880"/>
          </w:tcPr>
          <w:p>
            <w:r>
              <w:rPr>
                <w:rFonts w:ascii="Calibri" w:hAnsi="Calibri"/>
                <w:sz w:val="22"/>
              </w:rPr>
              <w:t>Sustained Long-Term Demand</w:t>
            </w:r>
          </w:p>
        </w:tc>
        <w:tc>
          <w:tcPr>
            <w:tcW w:type="dxa" w:w="2880"/>
          </w:tcPr>
          <w:p>
            <w:r>
              <w:rPr>
                <w:rFonts w:ascii="Calibri" w:hAnsi="Calibri"/>
                <w:sz w:val="22"/>
              </w:rPr>
              <w:t>"Political budget cycles will not, in the long or medium term, really adversely affect what the country needs." Programs are "in high demand" regardless of budget cycle timing.</w:t>
            </w:r>
          </w:p>
        </w:tc>
        <w:tc>
          <w:tcPr>
            <w:tcW w:type="dxa" w:w="2880"/>
          </w:tcPr>
          <w:p>
            <w:r>
              <w:rPr>
                <w:rFonts w:ascii="Calibri" w:hAnsi="Calibri"/>
                <w:b/>
                <w:color w:val="30A46C"/>
                <w:sz w:val="22"/>
              </w:rPr>
              <w:t>HII's nuclear carrier and submarine programs are strategic national assets with similar long-cycle demand characteristics — validates HII's 4–6 year revenue growth visibility.</w:t>
            </w:r>
          </w:p>
        </w:tc>
      </w:tr>
    </w:tbl>
    <w:p>
      <w:r>
        <w:rPr>
          <w:rFonts w:ascii="Calibri" w:hAnsi="Calibri"/>
          <w:i/>
          <w:color w:val="525866"/>
          <w:sz w:val="22"/>
        </w:rPr>
        <w:t>Sources: GD Q2 2026 Earnings Call Transcript (July 29, 2026); NOC Q2 2026 Earnings Call Transcript (July 21, 2026); LMT Q2 2026 Earnings Call Transcript (July 23, 2026).</w:t>
      </w:r>
    </w:p>
    <w:p>
      <w:r>
        <w:br w:type="page"/>
      </w:r>
    </w:p>
    <w:p>
      <w:pPr>
        <w:pStyle w:val="Heading2"/>
      </w:pPr>
      <w:r>
        <w:rPr>
          <w:rFonts w:ascii="Calibri" w:hAnsi="Calibri"/>
          <w:b/>
          <w:color w:val="3B4259"/>
          <w:sz w:val="28"/>
        </w:rPr>
        <w:t>8. Insider Transaction Activity (Since Q1 2026 Earnings, May 5, 2026)</w:t>
      </w:r>
    </w:p>
    <w:p>
      <w:r>
        <w:rPr>
          <w:rFonts w:ascii="Calibri" w:hAnsi="Calibri"/>
          <w:b/>
          <w:color w:val="525866"/>
          <w:sz w:val="22"/>
        </w:rPr>
        <w:t xml:space="preserve">Key Takeaway: </w:t>
      </w:r>
      <w:r>
        <w:rPr>
          <w:rFonts w:ascii="Calibri" w:hAnsi="Calibri"/>
          <w:color w:val="525866"/>
          <w:sz w:val="22"/>
        </w:rPr>
        <w:t>Insider activity since the Q1 print is minimal — only one open-market sale was disclosed, by the Chief HR Officer, and it was a discretionary sale of a modest size; there are no open-market buys and no clustered selling patterns that would signal concern from insiders.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Hughes, Edmond E. Jr.</w:t>
            </w:r>
          </w:p>
        </w:tc>
        <w:tc>
          <w:tcPr>
            <w:tcW w:type="dxa" w:w="1440"/>
          </w:tcPr>
          <w:p>
            <w:r>
              <w:rPr>
                <w:rFonts w:ascii="Calibri" w:hAnsi="Calibri"/>
                <w:sz w:val="22"/>
              </w:rPr>
              <w:t>EVP &amp; Chief HR Officer</w:t>
            </w:r>
          </w:p>
        </w:tc>
        <w:tc>
          <w:tcPr>
            <w:tcW w:type="dxa" w:w="1440"/>
          </w:tcPr>
          <w:p>
            <w:r>
              <w:rPr>
                <w:rFonts w:ascii="Calibri" w:hAnsi="Calibri"/>
                <w:sz w:val="22"/>
              </w:rPr>
              <w:t>Open Market Sale</w:t>
            </w:r>
          </w:p>
        </w:tc>
        <w:tc>
          <w:tcPr>
            <w:tcW w:type="dxa" w:w="1440"/>
          </w:tcPr>
          <w:p>
            <w:r>
              <w:rPr>
                <w:rFonts w:ascii="Calibri" w:hAnsi="Calibri"/>
                <w:sz w:val="22"/>
              </w:rPr>
              <w:t>~$1.1M (3,500 shares)</w:t>
            </w:r>
          </w:p>
        </w:tc>
        <w:tc>
          <w:tcPr>
            <w:tcW w:type="dxa" w:w="1440"/>
          </w:tcPr>
          <w:p>
            <w:r>
              <w:rPr>
                <w:rFonts w:ascii="Calibri" w:hAnsi="Calibri"/>
                <w:sz w:val="22"/>
              </w:rPr>
              <w:t>May 28, 2026</w:t>
            </w:r>
          </w:p>
        </w:tc>
        <w:tc>
          <w:tcPr>
            <w:tcW w:type="dxa" w:w="1440"/>
          </w:tcPr>
          <w:p>
            <w:r>
              <w:rPr>
                <w:rFonts w:ascii="Calibri" w:hAnsi="Calibri"/>
                <w:sz w:val="22"/>
              </w:rPr>
              <w:t>Discretionary sale; no 10b5-1 plan indicated; sold ~29% of remaining holdings; occurred same day as Bernstein conference</w:t>
            </w:r>
          </w:p>
        </w:tc>
      </w:tr>
    </w:tbl>
    <w:p>
      <w:r>
        <w:br w:type="page"/>
      </w:r>
    </w:p>
    <w:p>
      <w:pPr>
        <w:pStyle w:val="Heading2"/>
      </w:pPr>
      <w:r>
        <w:rPr>
          <w:rFonts w:ascii="Calibri" w:hAnsi="Calibri"/>
          <w:b/>
          <w:color w:val="3B4259"/>
          <w:sz w:val="28"/>
        </w:rPr>
        <w:t>9. Key Questions for the Q2 2026 Earnings Call</w:t>
      </w:r>
    </w:p>
    <w:p>
      <w:r>
        <w:rPr>
          <w:rFonts w:ascii="Calibri" w:hAnsi="Calibri"/>
          <w:b/>
          <w:color w:val="525866"/>
          <w:sz w:val="22"/>
        </w:rPr>
        <w:t xml:space="preserve">Key Takeaway: </w:t>
      </w:r>
      <w:r>
        <w:rPr>
          <w:rFonts w:ascii="Calibri" w:hAnsi="Calibri"/>
          <w:color w:val="525866"/>
          <w:sz w:val="22"/>
        </w:rPr>
        <w:t>The call will be defined by three binary questions: (1) Were Block VI and Columbia contracts awarded in Q2? (2) Are SSN 800 and LPD 30 on track for 2026 delivery? (3) Will management raise the FY26 FCF guide? The answers to these three questions will determine whether the stock re-rates toward peers or continues to underperform.</w:t>
      </w:r>
    </w:p>
    <w:p>
      <w:pPr>
        <w:pStyle w:val="ListNumber"/>
        <w:ind w:left="360" w:hanging="360"/>
      </w:pPr>
      <w:r>
        <w:rPr>
          <w:rFonts w:ascii="Calibri" w:hAnsi="Calibri"/>
          <w:b/>
          <w:color w:val="525866"/>
          <w:sz w:val="22"/>
        </w:rPr>
        <w:t>Block VI / Columbia Contract Awards — Confirmed or Slipped Again?</w:t>
      </w:r>
      <w:r>
        <w:rPr>
          <w:rFonts w:ascii="Calibri" w:hAnsi="Calibri"/>
          <w:color w:val="525866"/>
          <w:sz w:val="22"/>
        </w:rPr>
        <w:t xml:space="preserve"> CEO Kastner said at Bernstein he "fully expects" both done before end of Q2. GD confirmed on July 29 they are "coming soon." Did HII receive the awards? If yes, what is the contract structure, and does it reflect the "much more attractive" economics management has described? If no, what is the new timeline and what is the operational impact on submarine production sequence?</w:t>
      </w:r>
    </w:p>
    <w:p>
      <w:pPr>
        <w:pStyle w:val="ListNumber"/>
        <w:ind w:left="360" w:hanging="360"/>
      </w:pPr>
      <w:r>
        <w:rPr>
          <w:rFonts w:ascii="Calibri" w:hAnsi="Calibri"/>
          <w:b/>
          <w:color w:val="525866"/>
          <w:sz w:val="22"/>
        </w:rPr>
        <w:t>SSN 800 and LPD 30 Delivery Status — Still On Track for 2026?</w:t>
      </w:r>
      <w:r>
        <w:rPr>
          <w:rFonts w:ascii="Calibri" w:hAnsi="Calibri"/>
          <w:color w:val="525866"/>
          <w:sz w:val="22"/>
        </w:rPr>
        <w:t xml:space="preserve"> Management identified these two deliveries as the critical FCF drivers for 2026. Are they still on track? What is the current status of SSN 800 sea trials? Has LPD 30 completed all test milestones? Any slip here would likely force a FCF guidance cut.</w:t>
      </w:r>
    </w:p>
    <w:p>
      <w:pPr>
        <w:pStyle w:val="ListNumber"/>
        <w:ind w:left="360" w:hanging="360"/>
      </w:pPr>
      <w:r>
        <w:rPr>
          <w:rFonts w:ascii="Calibri" w:hAnsi="Calibri"/>
          <w:b/>
          <w:color w:val="525866"/>
          <w:sz w:val="22"/>
        </w:rPr>
        <w:t>CVN 79 Acceptance Trials — Timing and Delivery Outlook?</w:t>
      </w:r>
      <w:r>
        <w:rPr>
          <w:rFonts w:ascii="Calibri" w:hAnsi="Calibri"/>
          <w:color w:val="525866"/>
          <w:sz w:val="22"/>
        </w:rPr>
        <w:t xml:space="preserve"> Builder's sea trials were completed in Q1. Management guided acceptance trials "later this year" with delivery either late 2026 or early 2027. What is the current status? A 2026 delivery would be a meaningful positive surprise for FCF.</w:t>
      </w:r>
    </w:p>
    <w:p>
      <w:pPr>
        <w:pStyle w:val="ListNumber"/>
        <w:ind w:left="360" w:hanging="360"/>
      </w:pPr>
      <w:r>
        <w:rPr>
          <w:rFonts w:ascii="Calibri" w:hAnsi="Calibri"/>
          <w:b/>
          <w:color w:val="525866"/>
          <w:sz w:val="22"/>
        </w:rPr>
        <w:t>Shipbuilding Margin Trajectory — Any CVN-80 or LHA-8 Adjustments in Q2?</w:t>
      </w:r>
      <w:r>
        <w:rPr>
          <w:rFonts w:ascii="Calibri" w:hAnsi="Calibri"/>
          <w:color w:val="525866"/>
          <w:sz w:val="22"/>
        </w:rPr>
        <w:t xml:space="preserve"> Management flagged CVN-80 as a source of "minor quarterly adjustments over the next couple of years" and LHA-8 had a risk adjustment in Q1. Were there any additional EAC adjustments in Q2? What is the current margin outlook for H2 as post-COVID ships become a larger share of revenue?</w:t>
      </w:r>
    </w:p>
    <w:p>
      <w:pPr>
        <w:pStyle w:val="ListNumber"/>
        <w:ind w:left="360" w:hanging="360"/>
      </w:pPr>
      <w:r>
        <w:rPr>
          <w:rFonts w:ascii="Calibri" w:hAnsi="Calibri"/>
          <w:b/>
          <w:color w:val="525866"/>
          <w:sz w:val="22"/>
        </w:rPr>
        <w:t>FY26 Guidance — Will Management Raise FCF or Revenue?</w:t>
      </w:r>
      <w:r>
        <w:rPr>
          <w:rFonts w:ascii="Calibri" w:hAnsi="Calibri"/>
          <w:color w:val="525866"/>
          <w:sz w:val="22"/>
        </w:rPr>
        <w:t xml:space="preserve"> With H1 FCF tracking to plan and contract awards potentially confirmed, is there a path to raising the $500–$600M FCF guide? Will management raise the shipbuilding revenue guide given the consistent beats? The Q1 print disappointed because guidance was reaffirmed rather than raised — investors will be watching closely.</w:t>
      </w:r>
    </w:p>
    <w:p>
      <w:pPr>
        <w:pStyle w:val="ListNumber"/>
        <w:ind w:left="360" w:hanging="360"/>
      </w:pPr>
      <w:r>
        <w:rPr>
          <w:rFonts w:ascii="Calibri" w:hAnsi="Calibri"/>
          <w:b/>
          <w:color w:val="525866"/>
          <w:sz w:val="22"/>
        </w:rPr>
        <w:t>Throughput Progress — On Track for 15% Improvement?</w:t>
      </w:r>
      <w:r>
        <w:rPr>
          <w:rFonts w:ascii="Calibri" w:hAnsi="Calibri"/>
          <w:color w:val="525866"/>
          <w:sz w:val="22"/>
        </w:rPr>
        <w:t xml:space="preserve"> Management guided 15% throughput improvement for FY26 (vs. 14% in 2025). What was Q2 throughput? Is distributed shipbuilding (targeting 30% growth in outsourced hours) on track? What is the status of the Charleston facility doubling?</w:t>
      </w:r>
    </w:p>
    <w:p>
      <w:pPr>
        <w:pStyle w:val="ListNumber"/>
        <w:ind w:left="360" w:hanging="360"/>
      </w:pPr>
      <w:r>
        <w:rPr>
          <w:rFonts w:ascii="Calibri" w:hAnsi="Calibri"/>
          <w:b/>
          <w:color w:val="525866"/>
          <w:sz w:val="22"/>
        </w:rPr>
        <w:t>Mission Technologies — Unmanned Inflection and Commercial Nuclear?</w:t>
      </w:r>
      <w:r>
        <w:rPr>
          <w:rFonts w:ascii="Calibri" w:hAnsi="Calibri"/>
          <w:color w:val="525866"/>
          <w:sz w:val="22"/>
        </w:rPr>
        <w:t xml:space="preserve"> CEO said at Bernstein that unmanned is "nearing that inflection point." Is there any update on MUSV program awards or international unmanned competitions? What is the status of commercial nuclear opportunities? Is the 4% Q2 margin guide still appropriate given strategic investments?</w:t>
      </w:r>
    </w:p>
    <w:p>
      <w:pPr>
        <w:pStyle w:val="ListNumber"/>
        <w:ind w:left="360" w:hanging="360"/>
      </w:pPr>
      <w:r>
        <w:rPr>
          <w:rFonts w:ascii="Calibri" w:hAnsi="Calibri"/>
          <w:b/>
          <w:color w:val="525866"/>
          <w:sz w:val="22"/>
        </w:rPr>
        <w:t>Nuclear Battleship (Trump Class) and Frigate (FF(X)) — Any Update on Scope or Timing?</w:t>
      </w:r>
      <w:r>
        <w:rPr>
          <w:rFonts w:ascii="Calibri" w:hAnsi="Calibri"/>
          <w:color w:val="525866"/>
          <w:sz w:val="22"/>
        </w:rPr>
        <w:t xml:space="preserve"> The FY27 budget includes initial advanced procurement for the Trump-class battleship (USS Defiant) and the first FFX frigate. When might these programs be included in guidance? What is the revenue opportunity and timeline for the first two sole-sourced frigates?</w:t>
      </w:r>
    </w:p>
    <w:p>
      <w:pPr>
        <w:pStyle w:val="ListNumber"/>
        <w:ind w:left="360" w:hanging="360"/>
      </w:pPr>
      <w:r>
        <w:rPr>
          <w:rFonts w:ascii="Calibri" w:hAnsi="Calibri"/>
          <w:b/>
          <w:color w:val="525866"/>
          <w:sz w:val="22"/>
        </w:rPr>
        <w:t>Hyundai Heavy Industries (HHI) MOA — Any Progress?</w:t>
      </w:r>
      <w:r>
        <w:rPr>
          <w:rFonts w:ascii="Calibri" w:hAnsi="Calibri"/>
          <w:color w:val="525866"/>
          <w:sz w:val="22"/>
        </w:rPr>
        <w:t xml:space="preserve"> Management said at Bernstein that discussions with Hyundai are ongoing and could provide "very positive results" in manufacturing and efficiencies. Is there any update on the potential MOA? What would this mean for Ingalls capacity?</w:t>
      </w:r>
    </w:p>
    <w:p>
      <w:pPr>
        <w:pStyle w:val="ListNumber"/>
        <w:ind w:left="360" w:hanging="360"/>
      </w:pPr>
      <w:r>
        <w:rPr>
          <w:rFonts w:ascii="Calibri" w:hAnsi="Calibri"/>
          <w:b/>
          <w:color w:val="525866"/>
          <w:sz w:val="22"/>
        </w:rPr>
        <w:t>Capital Allocation — Share Repurchase Activity in Q2?</w:t>
      </w:r>
      <w:r>
        <w:rPr>
          <w:rFonts w:ascii="Calibri" w:hAnsi="Calibri"/>
          <w:color w:val="525866"/>
          <w:sz w:val="22"/>
        </w:rPr>
        <w:t xml:space="preserve"> With the stock down ~33% from its 52-week high, has management been opportunistic in repurchasing shares? What is the current buyback authorization and pace?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