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lt-earnings-predictions--2026-07-28"/>
    <w:p>
      <w:pPr>
        <w:pStyle w:val="Heading1"/>
      </w:pPr>
      <w:r>
        <w:t xml:space="preserve">HLT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~$1,045M vs. cons $1,030M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~$2.30 vs. cons $2.25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System-wide RevPAR (CN, 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~+2.8% vs. cons +2.5%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</m:t>
              </m:r>
              <m:r>
                <m:rPr>
                  <m:sty m:val="p"/>
                </m:rPr>
                <m:t>,</m:t>
              </m:r>
              <m:r>
                <m:t>040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080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4,060M) vs. cons $4,060M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8.85</m:t>
              </m:r>
              <m:r>
                <m:rPr>
                  <m:sty m:val="p"/>
                </m:rPr>
                <m:t>−</m:t>
              </m:r>
              <m:r>
                <m:t>8.97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8.91) vs. cons $8.90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System-wide RevPAR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~+2-3% (mid +2.5%) vs. cons +2.5%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unit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~6.0-7.0% (mid 6.5%) vs. cons ~6.5%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guide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2.45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2.47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(STABILIZE)</w:t>
            </w:r>
          </w:p>
        </w:tc>
        <w:tc>
          <w:tcPr/>
          <w:p>
            <w:pPr>
              <w:pStyle w:val="Compact"/>
            </w:pPr>
            <w:r>
              <w:t xml:space="preserve">Modest EBITDA/EPS beat (aided by buybacks) but consensus already sits at/above the top of guidance, so HLT screens as priced-for-perfection. Q2 optical drags (Middle East ~1.5pt RevPAR drag, tough year-ago comps) plus a cautious FY reaffirm rather than a clean raise trigger a sell-the-news day-1 fade. Out-period math is neutral-to-negative: a reaffirmed FY range on a Q2 beat implies an implicit 2H trim, keeping estimates flat and capping upside. But as a high-quality asset-light compounder off its June highs (~$340 to $331), the initial dip attracts quality buyers, so the move stabilizes rather than compounds lower over 5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2026-07-28T00:32:48Z</dcterms:created>
  <dcterms:modified xsi:type="dcterms:W3CDTF">2026-07-28T00:32:48Z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