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HLT before writing the preview. Let me start by gathering recent earnings materials, filings, and news.I have the Q2 estimates. Let me read the most recent earnings materials (Q1 2026 call and release) and get recent stock price data.Let me pull the Q1 2026 earnings release for exact figures and check recent sector/travel news.Let me get a quick peer read-through from Wyndham's Q2 results and recent travel-sector sentiment.I have everything I need. Here's the earnings preview.</w:t>
      </w:r>
    </w:p>
    <w:p>
      <w:r>
        <w:pict>
          <v:rect style="width:0;height:1.5pt" o:hralign="center" o:hrstd="t" o:hr="t"/>
        </w:pict>
      </w:r>
    </w:p>
    <w:bookmarkStart w:id="17" w:name="Xd2d1003795e964b5224ff2c05c0fce5e4b83e5b"/>
    <w:p>
      <w:pPr>
        <w:pStyle w:val="Heading1"/>
      </w:pPr>
      <w:r>
        <w:t xml:space="preserve">Hilton Worldwide (HLT) — Q2 2026 Earnings Preview</w:t>
      </w:r>
    </w:p>
    <w:p>
      <w:pPr>
        <w:pStyle w:val="FirstParagraph"/>
      </w:pPr>
      <w:r>
        <w:rPr>
          <w:b/>
          <w:bCs/>
        </w:rPr>
        <w:t xml:space="preserve">Report date:</w:t>
      </w:r>
      <w:r>
        <w:t xml:space="preserve"> </w:t>
      </w:r>
      <w:r>
        <w:t xml:space="preserve">Tuesday, July 28, 2026 (before market open) ·</w:t>
      </w:r>
      <w:r>
        <w:t xml:space="preserve"> </w:t>
      </w:r>
      <w:r>
        <w:rPr>
          <w:b/>
          <w:bCs/>
        </w:rPr>
        <w:t xml:space="preserve">Call:</w:t>
      </w:r>
      <w:r>
        <w:t xml:space="preserve"> </w:t>
      </w:r>
      <w:r>
        <w:t xml:space="preserve">9:00 a.m. ET</w:t>
      </w:r>
      <w:r>
        <w:t xml:space="preserve"> </w:t>
      </w:r>
      <w:r>
        <w:rPr>
          <w:b/>
          <w:bCs/>
        </w:rPr>
        <w:t xml:space="preserve">Price (7/27/2026 close):</w:t>
      </w:r>
      <w:r>
        <w:t xml:space="preserve"> </w:t>
      </w:r>
      <w:r>
        <w:t xml:space="preserve">$330.89 ·</w:t>
      </w:r>
      <w:r>
        <w:t xml:space="preserve"> </w:t>
      </w:r>
      <w:r>
        <w:rPr>
          <w:b/>
          <w:bCs/>
        </w:rPr>
        <w:t xml:space="preserve">YTD:</w:t>
      </w:r>
      <w:r>
        <w:t xml:space="preserve"> </w:t>
      </w:r>
      <w:r>
        <w:t xml:space="preserve">~+13% (from $292.98 on 1/2/2026)</w:t>
      </w:r>
    </w:p>
    <w:p>
      <w:r>
        <w:pict>
          <v:rect style="width:0;height:1.5pt" o:hralign="center" o:hrstd="t" o:hr="t"/>
        </w:pict>
      </w:r>
    </w:p>
    <w:bookmarkStart w:id="9" w:name="the-one-line-setup"/>
    <w:p>
      <w:pPr>
        <w:pStyle w:val="Heading2"/>
      </w:pPr>
      <w:r>
        <w:t xml:space="preserve">The one-line setup</w:t>
      </w:r>
    </w:p>
    <w:p>
      <w:pPr>
        <w:pStyle w:val="FirstParagraph"/>
      </w:pPr>
      <w:r>
        <w:t xml:space="preserve">Hilton heads into Q2 as a high-quality, asset-light compounder with genuinely improving U.S. demand at its back — but the print itself carries unusual</w:t>
      </w:r>
      <w:r>
        <w:t xml:space="preserve"> </w:t>
      </w:r>
      <w:r>
        <w:rPr>
          <w:i/>
          <w:iCs/>
        </w:rPr>
        <w:t xml:space="preserve">optical</w:t>
      </w:r>
      <w:r>
        <w:t xml:space="preserve"> </w:t>
      </w:r>
      <w:r>
        <w:t xml:space="preserve">noise (tough year-ago comps and an outsized Middle East drag) that management flagged three months ago. The debate is less about the quarter and more about whether the "convergence"/C-shaped demand narrative is durable enough to justify a full-year raise and a premium multiple.</w:t>
      </w:r>
    </w:p>
    <w:p>
      <w:r>
        <w:pict>
          <v:rect style="width:0;height:1.5pt" o:hralign="center" o:hrstd="t" o:hr="t"/>
        </w:pict>
      </w:r>
    </w:p>
    <w:bookmarkEnd w:id="9"/>
    <w:bookmarkStart w:id="10" w:name="what-the-street-expects"/>
    <w:p>
      <w:pPr>
        <w:pStyle w:val="Heading2"/>
      </w:pPr>
      <w:r>
        <w:t xml:space="preserve">What the Street expects</w:t>
      </w:r>
    </w:p>
    <w:p>
      <w:pPr>
        <w:pStyle w:val="FirstParagraph"/>
      </w:pPr>
      <w:r>
        <w:t xml:space="preserve">Consensus for Q2 (per the pre-earnings news digest):</w:t>
      </w:r>
    </w:p>
    <w:p>
      <w:pPr>
        <w:pStyle w:val="Compact"/>
        <w:numPr>
          <w:ilvl w:val="0"/>
          <w:numId w:val="1001"/>
        </w:numPr>
      </w:pPr>
      <w:r>
        <w:rPr>
          <w:b/>
          <w:bCs/>
        </w:rPr>
        <w:t xml:space="preserve">Revenue: ~$3.32B</w:t>
      </w:r>
      <w:r>
        <w:t xml:space="preserve">, up ~5.9% y/y</w:t>
      </w:r>
    </w:p>
    <w:p>
      <w:pPr>
        <w:pStyle w:val="Compact"/>
        <w:numPr>
          <w:ilvl w:val="0"/>
          <w:numId w:val="1001"/>
        </w:numPr>
      </w:pPr>
      <w:r>
        <w:rPr>
          <w:b/>
          <w:bCs/>
        </w:rPr>
        <w:t xml:space="preserve">System-wide RevPAR: ~+2.5%</w:t>
      </w:r>
      <w:r>
        <w:t xml:space="preserve"> </w:t>
      </w:r>
      <w:r>
        <w:t xml:space="preserve">(currency-neutral)</w:t>
      </w:r>
    </w:p>
    <w:p>
      <w:pPr>
        <w:pStyle w:val="Compact"/>
        <w:numPr>
          <w:ilvl w:val="0"/>
          <w:numId w:val="1001"/>
        </w:numPr>
      </w:pPr>
      <w:r>
        <w:rPr>
          <w:b/>
          <w:bCs/>
        </w:rPr>
        <w:t xml:space="preserve">Adjusted EBITDA: ~$1.03B</w:t>
      </w:r>
    </w:p>
    <w:p>
      <w:pPr>
        <w:pStyle w:val="Compact"/>
        <w:numPr>
          <w:ilvl w:val="0"/>
          <w:numId w:val="1001"/>
        </w:numPr>
      </w:pPr>
      <w:r>
        <w:rPr>
          <w:b/>
          <w:bCs/>
        </w:rPr>
        <w:t xml:space="preserve">EPS: ~$2.25</w:t>
      </w:r>
    </w:p>
    <w:bookmarkEnd w:id="10"/>
    <w:bookmarkStart w:id="11" w:name="what-management-guided-given-april-28"/>
    <w:p>
      <w:pPr>
        <w:pStyle w:val="Heading2"/>
      </w:pPr>
      <w:r>
        <w:t xml:space="preserve">What management guided (given April 28)</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FY2026 guide</w:t>
            </w:r>
          </w:p>
        </w:tc>
      </w:tr>
      <w:tr>
        <w:tc>
          <w:tcPr/>
          <w:p>
            <w:pPr>
              <w:pStyle w:val="Compact"/>
            </w:pPr>
            <w:r>
              <w:t xml:space="preserve">System-wide RevPAR (CN)</w:t>
            </w:r>
          </w:p>
        </w:tc>
        <w:tc>
          <w:tcPr/>
          <w:p>
            <w:pPr>
              <w:pStyle w:val="Compact"/>
            </w:pPr>
            <w:r>
              <w:rPr>
                <w:b/>
                <w:bCs/>
              </w:rPr>
              <w:t xml:space="preserve">+2.0% to +3.0%</w:t>
            </w:r>
          </w:p>
        </w:tc>
        <w:tc>
          <w:tcPr/>
          <w:p>
            <w:pPr>
              <w:pStyle w:val="Compact"/>
            </w:pPr>
            <w:r>
              <w:rPr>
                <w:b/>
                <w:bCs/>
              </w:rPr>
              <w:t xml:space="preserve">+2.0% to +3.0%</w:t>
            </w:r>
          </w:p>
        </w:tc>
      </w:tr>
      <w:tr>
        <w:tc>
          <w:tcPr/>
          <w:p>
            <w:pPr>
              <w:pStyle w:val="Compact"/>
            </w:pPr>
            <w:r>
              <w:t xml:space="preserve">Adjusted EBITDA</w:t>
            </w:r>
          </w:p>
        </w:tc>
        <w:tc>
          <w:tcPr/>
          <w:p>
            <w:pPr>
              <w:pStyle w:val="Compact"/>
            </w:pPr>
            <m:oMath>
              <m:r>
                <m:t>1</m:t>
              </m:r>
              <m:r>
                <m:rPr>
                  <m:sty m:val="p"/>
                </m:rPr>
                <m:t>,</m:t>
              </m:r>
              <m:r>
                <m:t>015</m:t>
              </m:r>
              <m:r>
                <m:t>M</m:t>
              </m:r>
              <m:r>
                <m:rPr>
                  <m:sty m:val="p"/>
                </m:rPr>
                <m:t>–</m:t>
              </m:r>
            </m:oMath>
            <w:r>
              <w:rPr>
                <w:b/>
                <w:bCs/>
              </w:rPr>
              <w:t xml:space="preserve">1,035M</w:t>
            </w:r>
          </w:p>
        </w:tc>
        <w:tc>
          <w:tcPr/>
          <w:p>
            <w:pPr>
              <w:pStyle w:val="Compact"/>
            </w:pPr>
            <m:oMath>
              <m:r>
                <m:t>4</m:t>
              </m:r>
              <m:r>
                <m:rPr>
                  <m:sty m:val="p"/>
                </m:rPr>
                <m:t>,</m:t>
              </m:r>
              <m:r>
                <m:t>020</m:t>
              </m:r>
              <m:r>
                <m:t>M</m:t>
              </m:r>
              <m:r>
                <m:rPr>
                  <m:sty m:val="p"/>
                </m:rPr>
                <m:t>–</m:t>
              </m:r>
            </m:oMath>
            <w:r>
              <w:rPr>
                <w:b/>
                <w:bCs/>
              </w:rPr>
              <w:t xml:space="preserve">4,060M</w:t>
            </w:r>
          </w:p>
        </w:tc>
      </w:tr>
      <w:tr>
        <w:tc>
          <w:tcPr/>
          <w:p>
            <w:pPr>
              <w:pStyle w:val="Compact"/>
            </w:pPr>
            <w:r>
              <w:t xml:space="preserve">Diluted EPS (adj.)</w:t>
            </w:r>
          </w:p>
        </w:tc>
        <w:tc>
          <w:tcPr/>
          <w:p>
            <w:pPr>
              <w:pStyle w:val="Compact"/>
            </w:pPr>
            <m:oMath>
              <m:r>
                <m:t>2.18</m:t>
              </m:r>
              <m:r>
                <m:rPr>
                  <m:sty m:val="p"/>
                </m:rPr>
                <m:t>–</m:t>
              </m:r>
            </m:oMath>
            <w:r>
              <w:rPr>
                <w:b/>
                <w:bCs/>
              </w:rPr>
              <w:t xml:space="preserve">2.24</w:t>
            </w:r>
          </w:p>
        </w:tc>
        <w:tc>
          <w:tcPr/>
          <w:p>
            <w:pPr>
              <w:pStyle w:val="Compact"/>
            </w:pPr>
            <m:oMath>
              <m:r>
                <m:t>8.79</m:t>
              </m:r>
              <m:r>
                <m:rPr>
                  <m:sty m:val="p"/>
                </m:rPr>
                <m:t>–</m:t>
              </m:r>
            </m:oMath>
            <w:r>
              <w:rPr>
                <w:b/>
                <w:bCs/>
              </w:rPr>
              <w:t xml:space="preserve">8.91</w:t>
            </w:r>
          </w:p>
        </w:tc>
      </w:tr>
      <w:tr>
        <w:tc>
          <w:tcPr/>
          <w:p>
            <w:pPr>
              <w:pStyle w:val="Compact"/>
            </w:pPr>
            <w:r>
              <w:t xml:space="preserve">Net income</w:t>
            </w:r>
          </w:p>
        </w:tc>
        <w:tc>
          <w:tcPr/>
          <w:p>
            <w:pPr>
              <w:pStyle w:val="Compact"/>
            </w:pPr>
            <m:oMath>
              <m:r>
                <m:t>491</m:t>
              </m:r>
              <m:r>
                <m:t>M</m:t>
              </m:r>
              <m:r>
                <m:rPr>
                  <m:sty m:val="p"/>
                </m:rPr>
                <m:t>–</m:t>
              </m:r>
            </m:oMath>
            <w:r>
              <w:t xml:space="preserve">505M</w:t>
            </w:r>
          </w:p>
        </w:tc>
        <w:tc>
          <w:tcPr/>
          <w:p>
            <w:pPr>
              <w:pStyle w:val="Compact"/>
            </w:pPr>
            <m:oMath>
              <m:r>
                <m:t>1</m:t>
              </m:r>
              <m:r>
                <m:rPr>
                  <m:sty m:val="p"/>
                </m:rPr>
                <m:t>,</m:t>
              </m:r>
              <m:r>
                <m:t>909</m:t>
              </m:r>
              <m:r>
                <m:t>M</m:t>
              </m:r>
              <m:r>
                <m:rPr>
                  <m:sty m:val="p"/>
                </m:rPr>
                <m:t>–</m:t>
              </m:r>
            </m:oMath>
            <w:r>
              <w:t xml:space="preserve">1,937M</w:t>
            </w:r>
          </w:p>
        </w:tc>
      </w:tr>
      <w:tr>
        <w:tc>
          <w:tcPr/>
          <w:p>
            <w:pPr>
              <w:pStyle w:val="Compact"/>
            </w:pPr>
            <w:r>
              <w:t xml:space="preserve">Net unit growth</w:t>
            </w:r>
          </w:p>
        </w:tc>
        <w:tc>
          <w:tcPr/>
          <w:p>
            <w:pPr>
              <w:pStyle w:val="Compact"/>
            </w:pPr>
            <w:r>
              <w:t xml:space="preserve">—</w:t>
            </w:r>
          </w:p>
        </w:tc>
        <w:tc>
          <w:tcPr/>
          <w:p>
            <w:pPr>
              <w:pStyle w:val="Compact"/>
            </w:pPr>
            <w:r>
              <w:rPr>
                <w:b/>
                <w:bCs/>
              </w:rPr>
              <w:t xml:space="preserve">6.0%–7.0%</w:t>
            </w:r>
          </w:p>
        </w:tc>
      </w:tr>
      <w:tr>
        <w:tc>
          <w:tcPr/>
          <w:p>
            <w:pPr>
              <w:pStyle w:val="Compact"/>
            </w:pPr>
            <w:r>
              <w:t xml:space="preserve">Capital return</w:t>
            </w:r>
          </w:p>
        </w:tc>
        <w:tc>
          <w:tcPr/>
          <w:p>
            <w:pPr>
              <w:pStyle w:val="Compact"/>
            </w:pPr>
            <w:r>
              <w:t xml:space="preserve">—</w:t>
            </w:r>
          </w:p>
        </w:tc>
        <w:tc>
          <w:tcPr/>
          <w:p>
            <w:pPr>
              <w:pStyle w:val="Compact"/>
            </w:pPr>
            <w:r>
              <w:rPr>
                <w:b/>
                <w:bCs/>
              </w:rPr>
              <w:t xml:space="preserve">~$3.5B</w:t>
            </w:r>
          </w:p>
        </w:tc>
      </w:tr>
    </w:tbl>
    <w:p>
      <w:pPr>
        <w:pStyle w:val="BodyText"/>
      </w:pPr>
      <w:r>
        <w:rPr>
          <w:b/>
          <w:bCs/>
        </w:rPr>
        <w:t xml:space="preserve">Key tell:</w:t>
      </w:r>
      <w:r>
        <w:t xml:space="preserve"> </w:t>
      </w:r>
      <w:r>
        <w:t xml:space="preserve">the Street's ~$2.25 EPS sits just</w:t>
      </w:r>
      <w:r>
        <w:t xml:space="preserve"> </w:t>
      </w:r>
      <w:r>
        <w:rPr>
          <w:i/>
          <w:iCs/>
        </w:rPr>
        <w:t xml:space="preserve">above</w:t>
      </w:r>
      <w:r>
        <w:t xml:space="preserve"> </w:t>
      </w:r>
      <w:r>
        <w:t xml:space="preserve">the top of the guided</w:t>
      </w:r>
      <w:r>
        <w:t xml:space="preserve"> </w:t>
      </w:r>
      <m:oMath>
        <m:r>
          <m:t>2.18</m:t>
        </m:r>
        <m:r>
          <m:rPr>
            <m:sty m:val="p"/>
          </m:rPr>
          <m:t>–</m:t>
        </m:r>
      </m:oMath>
      <w:r>
        <w:t xml:space="preserve">2.24 range, and ~$1.03B EBITDA is near the high end. Given Hilton beat the high end of both its RevPAR and EBITDA guidance in Q1, expectations are effectively for another top-of-range-or-better result plus a likely FY raise — a high bar that leaves limited room for upside surprise on the headline.</w:t>
      </w:r>
    </w:p>
    <w:p>
      <w:r>
        <w:pict>
          <v:rect style="width:0;height:1.5pt" o:hralign="center" o:hrstd="t" o:hr="t"/>
        </w:pict>
      </w:r>
    </w:p>
    <w:bookmarkEnd w:id="11"/>
    <w:bookmarkStart w:id="12" w:name="Xe2fcc3d8999dd03bccb5f8fa258a135d419e125"/>
    <w:p>
      <w:pPr>
        <w:pStyle w:val="Heading2"/>
      </w:pPr>
      <w:r>
        <w:t xml:space="preserve">Why Q2 optics are messy (management pre-warned)</w:t>
      </w:r>
    </w:p>
    <w:p>
      <w:pPr>
        <w:pStyle w:val="FirstParagraph"/>
      </w:pPr>
      <w:r>
        <w:t xml:space="preserve">Two items make the y/y growth rate look artificially soft this quarter:</w:t>
      </w:r>
    </w:p>
    <w:p>
      <w:pPr>
        <w:pStyle w:val="Compact"/>
        <w:numPr>
          <w:ilvl w:val="0"/>
          <w:numId w:val="1002"/>
        </w:numPr>
      </w:pPr>
      <w:r>
        <w:rPr>
          <w:b/>
          <w:bCs/>
        </w:rPr>
        <w:t xml:space="preserve">Tough year-ago comp.</w:t>
      </w:r>
      <w:r>
        <w:t xml:space="preserve"> </w:t>
      </w:r>
      <w:r>
        <w:t xml:space="preserve">Management explicitly called out</w:t>
      </w:r>
      <w:r>
        <w:t xml:space="preserve"> </w:t>
      </w:r>
      <w:r>
        <w:rPr>
          <w:b/>
          <w:bCs/>
        </w:rPr>
        <w:t xml:space="preserve">one-time fees and favorable timing items unique to Q2 2025</w:t>
      </w:r>
      <w:r>
        <w:t xml:space="preserve"> </w:t>
      </w:r>
      <w:r>
        <w:t xml:space="preserve">that depress this year's growth rates for EBITDA and EPS.</w:t>
      </w:r>
    </w:p>
    <w:p>
      <w:pPr>
        <w:pStyle w:val="Compact"/>
        <w:numPr>
          <w:ilvl w:val="0"/>
          <w:numId w:val="1002"/>
        </w:numPr>
      </w:pPr>
      <w:r>
        <w:rPr>
          <w:b/>
          <w:bCs/>
        </w:rPr>
        <w:t xml:space="preserve">The Middle East.</w:t>
      </w:r>
      <w:r>
        <w:t xml:space="preserve"> </w:t>
      </w:r>
      <w:r>
        <w:t xml:space="preserve">The region is ~3% of the business, but CEO Chris Nassetta said Q2 would be the</w:t>
      </w:r>
      <w:r>
        <w:t xml:space="preserve"> </w:t>
      </w:r>
      <w:r>
        <w:rPr>
          <w:i/>
          <w:iCs/>
        </w:rPr>
        <w:t xml:space="preserve">most</w:t>
      </w:r>
      <w:r>
        <w:t xml:space="preserve"> </w:t>
      </w:r>
      <w:r>
        <w:t xml:space="preserve">impacted quarter, with regional RevPAR potentially</w:t>
      </w:r>
      <w:r>
        <w:t xml:space="preserve"> </w:t>
      </w:r>
      <w:r>
        <w:rPr>
          <w:b/>
          <w:bCs/>
        </w:rPr>
        <w:t xml:space="preserve">down ~50%</w:t>
      </w:r>
      <w:r>
        <w:t xml:space="preserve">, translating to roughly a</w:t>
      </w:r>
      <w:r>
        <w:t xml:space="preserve"> </w:t>
      </w:r>
      <w:r>
        <w:rPr>
          <w:b/>
          <w:bCs/>
        </w:rPr>
        <w:t xml:space="preserve">1.5-point drag on system-wide RevPAR</w:t>
      </w:r>
      <w:r>
        <w:t xml:space="preserve"> </w:t>
      </w:r>
      <w:r>
        <w:t xml:space="preserve">in Q2 (vs. ~0.5–1 point for the full year). In Q1, MEA RevPAR was already down 1.7%, and FY MEA RevPAR is guided down mid-to-high teens.</w:t>
      </w:r>
    </w:p>
    <w:p>
      <w:pPr>
        <w:pStyle w:val="FirstParagraph"/>
      </w:pPr>
      <w:r>
        <w:t xml:space="preserve">Net: absent the Middle East, management implied Q2 system RevPAR would have been</w:t>
      </w:r>
      <w:r>
        <w:t xml:space="preserve"> </w:t>
      </w:r>
      <w:r>
        <w:rPr>
          <w:i/>
          <w:iCs/>
        </w:rPr>
        <w:t xml:space="preserve">above</w:t>
      </w:r>
      <w:r>
        <w:t xml:space="preserve"> </w:t>
      </w:r>
      <w:r>
        <w:t xml:space="preserve">Q1's +3.6%. So a reported +2–3% is consistent with underlying strength, not deceleration — a nuance worth watching how the market digests.</w:t>
      </w:r>
    </w:p>
    <w:p>
      <w:r>
        <w:pict>
          <v:rect style="width:0;height:1.5pt" o:hralign="center" o:hrstd="t" o:hr="t"/>
        </w:pict>
      </w:r>
    </w:p>
    <w:bookmarkEnd w:id="12"/>
    <w:bookmarkStart w:id="13" w:name="the-bull-case-the-c-shaped-us-recovery"/>
    <w:p>
      <w:pPr>
        <w:pStyle w:val="Heading2"/>
      </w:pPr>
      <w:r>
        <w:t xml:space="preserve">The bull case: the "C-shaped" U.S. recovery</w:t>
      </w:r>
    </w:p>
    <w:p>
      <w:pPr>
        <w:pStyle w:val="FirstParagraph"/>
      </w:pPr>
      <w:r>
        <w:t xml:space="preserve">The most important story is the demand inflection Nassetta has been building toward. In Q1:</w:t>
      </w:r>
    </w:p>
    <w:p>
      <w:pPr>
        <w:pStyle w:val="Compact"/>
        <w:numPr>
          <w:ilvl w:val="0"/>
          <w:numId w:val="1003"/>
        </w:numPr>
      </w:pPr>
      <w:r>
        <w:rPr>
          <w:b/>
          <w:bCs/>
        </w:rPr>
        <w:t xml:space="preserve">U.S. RevPAR +3.4%</w:t>
      </w:r>
      <w:r>
        <w:t xml:space="preserve">, with management guiding U.S. to the</w:t>
      </w:r>
      <w:r>
        <w:t xml:space="preserve"> </w:t>
      </w:r>
      <w:r>
        <w:rPr>
          <w:b/>
          <w:bCs/>
        </w:rPr>
        <w:t xml:space="preserve">high end of / above</w:t>
      </w:r>
      <w:r>
        <w:t xml:space="preserve"> </w:t>
      </w:r>
      <w:r>
        <w:t xml:space="preserve">system guidance for the year.</w:t>
      </w:r>
    </w:p>
    <w:p>
      <w:pPr>
        <w:pStyle w:val="Compact"/>
        <w:numPr>
          <w:ilvl w:val="0"/>
          <w:numId w:val="1003"/>
        </w:numPr>
      </w:pPr>
      <w:r>
        <w:rPr>
          <w:b/>
          <w:bCs/>
        </w:rPr>
        <w:t xml:space="preserve">Business transient +2.7%</w:t>
      </w:r>
      <w:r>
        <w:t xml:space="preserve"> </w:t>
      </w:r>
      <w:r>
        <w:t xml:space="preserve">— a ~4-point step-up from Q4 (day/holiday adjusted), driven by improving midweek demand.</w:t>
      </w:r>
    </w:p>
    <w:p>
      <w:pPr>
        <w:pStyle w:val="Compact"/>
        <w:numPr>
          <w:ilvl w:val="0"/>
          <w:numId w:val="1003"/>
        </w:numPr>
      </w:pPr>
      <w:r>
        <w:rPr>
          <w:b/>
          <w:bCs/>
        </w:rPr>
        <w:t xml:space="preserve">Group +4.3%</w:t>
      </w:r>
      <w:r>
        <w:t xml:space="preserve">, with healthy corporate lead volumes; management expects group to lead, then business, then leisure.</w:t>
      </w:r>
    </w:p>
    <w:p>
      <w:pPr>
        <w:pStyle w:val="Compact"/>
        <w:numPr>
          <w:ilvl w:val="0"/>
          <w:numId w:val="1003"/>
        </w:numPr>
      </w:pPr>
      <w:r>
        <w:t xml:space="preserve">The thesis: RevPAR strength is moving</w:t>
      </w:r>
      <w:r>
        <w:t xml:space="preserve"> </w:t>
      </w:r>
      <w:r>
        <w:rPr>
          <w:i/>
          <w:iCs/>
        </w:rPr>
        <w:t xml:space="preserve">downstream</w:t>
      </w:r>
      <w:r>
        <w:t xml:space="preserve"> </w:t>
      </w:r>
      <w:r>
        <w:t xml:space="preserve">from luxury/upper-upscale into mid- and lower-chain scales, supported by a pro-business tax/regulatory backdrop, eventual rate cuts, and AI/infrastructure/CHIPS capex feeding nonresidential fixed investment (the metric most correlated with lodging demand).</w:t>
      </w:r>
    </w:p>
    <w:p>
      <w:pPr>
        <w:pStyle w:val="FirstParagraph"/>
      </w:pPr>
      <w:r>
        <w:rPr>
          <w:b/>
          <w:bCs/>
        </w:rPr>
        <w:t xml:space="preserve">Peer read-through is supportive.</w:t>
      </w:r>
      <w:r>
        <w:t xml:space="preserve"> </w:t>
      </w:r>
      <w:r>
        <w:t xml:space="preserve">Wyndham — a proxy for the economy/midscale U.S. consumer — reported Q2</w:t>
      </w:r>
      <w:r>
        <w:t xml:space="preserve"> </w:t>
      </w:r>
      <w:r>
        <w:rPr>
          <w:b/>
          <w:bCs/>
        </w:rPr>
        <w:t xml:space="preserve">U.S. RevPAR +2%</w:t>
      </w:r>
      <w:r>
        <w:t xml:space="preserve">, described it as</w:t>
      </w:r>
      <w:r>
        <w:t xml:space="preserve"> </w:t>
      </w:r>
      <w:r>
        <w:rPr>
          <w:i/>
          <w:iCs/>
        </w:rPr>
        <w:t xml:space="preserve">accelerating and above its own expectations</w:t>
      </w:r>
      <w:r>
        <w:t xml:space="preserve">, and</w:t>
      </w:r>
      <w:r>
        <w:t xml:space="preserve"> </w:t>
      </w:r>
      <w:r>
        <w:rPr>
          <w:b/>
          <w:bCs/>
        </w:rPr>
        <w:t xml:space="preserve">raised its 2H domestic RevPAR outlook from ~0% to ~2%</w:t>
      </w:r>
      <w:r>
        <w:t xml:space="preserve">. That's a constructive tell for the "convergence into lower chain scales" narrative and for HLT's U.S. RevPAR trajectory. Wyndham's international softness (Middle East/EMEA, China, Latin America cross-border into Mexico) also validates the pockets of weakness HLT flagged.</w:t>
      </w:r>
    </w:p>
    <w:p>
      <w:r>
        <w:pict>
          <v:rect style="width:0;height:1.5pt" o:hralign="center" o:hrstd="t" o:hr="t"/>
        </w:pict>
      </w:r>
    </w:p>
    <w:bookmarkEnd w:id="13"/>
    <w:bookmarkStart w:id="14" w:name="X3131e66093436ad6fe3f69811afd903df7a420d"/>
    <w:p>
      <w:pPr>
        <w:pStyle w:val="Heading2"/>
      </w:pPr>
      <w:r>
        <w:t xml:space="preserve">Growth algorithm &amp; capital return (the durable story)</w:t>
      </w:r>
    </w:p>
    <w:p>
      <w:pPr>
        <w:pStyle w:val="Compact"/>
        <w:numPr>
          <w:ilvl w:val="0"/>
          <w:numId w:val="1004"/>
        </w:numPr>
      </w:pPr>
      <w:r>
        <w:rPr>
          <w:b/>
          <w:bCs/>
        </w:rPr>
        <w:t xml:space="preserve">Record pipeline of 527,000 rooms</w:t>
      </w:r>
      <w:r>
        <w:t xml:space="preserve"> </w:t>
      </w:r>
      <w:r>
        <w:t xml:space="preserve">(129 countries; ~half under construction, &gt;half international); Hilton is ~5.5% of global supply but &gt;20% of rooms under construction.</w:t>
      </w:r>
    </w:p>
    <w:p>
      <w:pPr>
        <w:pStyle w:val="Compact"/>
        <w:numPr>
          <w:ilvl w:val="0"/>
          <w:numId w:val="1004"/>
        </w:numPr>
      </w:pPr>
      <w:r>
        <w:rPr>
          <w:b/>
          <w:bCs/>
        </w:rPr>
        <w:t xml:space="preserve">NUG of 6.3% in Q1</w:t>
      </w:r>
      <w:r>
        <w:t xml:space="preserve">, on track for 6–7% for the year; management argues this pace is sustainable "a long, long time" given underpenetrated India, Southeast Asia, CALA, KSA/Middle East, and Africa.</w:t>
      </w:r>
    </w:p>
    <w:p>
      <w:pPr>
        <w:pStyle w:val="Compact"/>
        <w:numPr>
          <w:ilvl w:val="0"/>
          <w:numId w:val="1004"/>
        </w:numPr>
      </w:pPr>
      <w:r>
        <w:t xml:space="preserve">Development starts guided</w:t>
      </w:r>
      <w:r>
        <w:t xml:space="preserve"> </w:t>
      </w:r>
      <w:r>
        <w:rPr>
          <w:b/>
          <w:bCs/>
        </w:rPr>
        <w:t xml:space="preserve">up &gt;20%</w:t>
      </w:r>
      <w:r>
        <w:t xml:space="preserve"> </w:t>
      </w:r>
      <w:r>
        <w:t xml:space="preserve">for 2026; conversions running ~38–40% of openings.</w:t>
      </w:r>
    </w:p>
    <w:p>
      <w:pPr>
        <w:pStyle w:val="Compact"/>
        <w:numPr>
          <w:ilvl w:val="0"/>
          <w:numId w:val="1004"/>
        </w:numPr>
      </w:pPr>
      <w:r>
        <w:rPr>
          <w:b/>
          <w:bCs/>
        </w:rPr>
        <w:t xml:space="preserve">Fee engine:</w:t>
      </w:r>
      <w:r>
        <w:t xml:space="preserve"> </w:t>
      </w:r>
      <w:r>
        <w:t xml:space="preserve">management &amp; franchise fees grew</w:t>
      </w:r>
      <w:r>
        <w:t xml:space="preserve"> </w:t>
      </w:r>
      <w:r>
        <w:rPr>
          <w:b/>
          <w:bCs/>
        </w:rPr>
        <w:t xml:space="preserve">10.4%</w:t>
      </w:r>
      <w:r>
        <w:t xml:space="preserve"> </w:t>
      </w:r>
      <w:r>
        <w:t xml:space="preserve">in Q1; the model is ~75% U.S.-driven and highly cash-generative (Q1 adj. EBITDA margin 75.3%).</w:t>
      </w:r>
    </w:p>
    <w:p>
      <w:pPr>
        <w:pStyle w:val="Compact"/>
        <w:numPr>
          <w:ilvl w:val="0"/>
          <w:numId w:val="1004"/>
        </w:numPr>
      </w:pPr>
      <w:r>
        <w:rPr>
          <w:b/>
          <w:bCs/>
        </w:rPr>
        <w:t xml:space="preserve">Capital return ~$3.5B</w:t>
      </w:r>
      <w:r>
        <w:t xml:space="preserve"> </w:t>
      </w:r>
      <w:r>
        <w:t xml:space="preserve">planned for 2026 (buybacks +</w:t>
      </w:r>
      <w:r>
        <w:t xml:space="preserve"> </w:t>
      </w:r>
      <m:oMath>
        <m:r>
          <m:t>0.15</m:t>
        </m:r>
        <m:r>
          <m:rPr>
            <m:sty m:val="p"/>
          </m:rPr>
          <m:t>/</m:t>
        </m:r>
        <m:r>
          <m:t>q</m:t>
        </m:r>
        <m:r>
          <m:t>t</m:t>
        </m:r>
        <m:r>
          <m:t>r</m:t>
        </m:r>
        <m:r>
          <m:t>d</m:t>
        </m:r>
        <m:r>
          <m:t>i</m:t>
        </m:r>
        <m:r>
          <m:t>v</m:t>
        </m:r>
        <m:r>
          <m:t>i</m:t>
        </m:r>
        <m:r>
          <m:t>d</m:t>
        </m:r>
        <m:r>
          <m:t>e</m:t>
        </m:r>
        <m:r>
          <m:t>n</m:t>
        </m:r>
        <m:r>
          <m:t>d</m:t>
        </m:r>
        <m:r>
          <m:rPr>
            <m:sty m:val="p"/>
          </m:rPr>
          <m:t>)</m:t>
        </m:r>
        <m:r>
          <m:rPr>
            <m:sty m:val="p"/>
          </m:rPr>
          <m:t>;</m:t>
        </m:r>
        <m:r>
          <m:t>r</m:t>
        </m:r>
        <m:r>
          <m:t>e</m:t>
        </m:r>
        <m:r>
          <m:t>p</m:t>
        </m:r>
        <m:r>
          <m:t>u</m:t>
        </m:r>
        <m:r>
          <m:t>r</m:t>
        </m:r>
        <m:r>
          <m:t>c</m:t>
        </m:r>
        <m:r>
          <m:t>h</m:t>
        </m:r>
        <m:r>
          <m:t>a</m:t>
        </m:r>
        <m:r>
          <m:t>s</m:t>
        </m:r>
        <m:r>
          <m:t>e</m:t>
        </m:r>
        <m:r>
          <m:t>d</m:t>
        </m:r>
        <m:r>
          <m:t>2.7</m:t>
        </m:r>
        <m:r>
          <m:t>M</m:t>
        </m:r>
        <m:r>
          <m:t>s</m:t>
        </m:r>
        <m:r>
          <m:t>h</m:t>
        </m:r>
        <m:r>
          <m:t>a</m:t>
        </m:r>
        <m:r>
          <m:t>r</m:t>
        </m:r>
        <m:r>
          <m:t>e</m:t>
        </m:r>
        <m:r>
          <m:t>s</m:t>
        </m:r>
        <m:r>
          <m:t>i</m:t>
        </m:r>
        <m:r>
          <m:t>n</m:t>
        </m:r>
        <m:r>
          <m:t>Q</m:t>
        </m:r>
        <m:r>
          <m:t>1</m:t>
        </m:r>
        <m:r>
          <m:t>a</m:t>
        </m:r>
        <m:r>
          <m:t>t</m:t>
        </m:r>
        <m:r>
          <m:t> </m:t>
        </m:r>
      </m:oMath>
      <w:r>
        <w:t xml:space="preserve">301.71. Leverage is a comfortable</w:t>
      </w:r>
      <w:r>
        <w:t xml:space="preserve"> </w:t>
      </w:r>
      <w:r>
        <w:rPr>
          <w:b/>
          <w:bCs/>
        </w:rPr>
        <w:t xml:space="preserve">~3.1x</w:t>
      </w:r>
      <w:r>
        <w:t xml:space="preserve"> </w:t>
      </w:r>
      <w:r>
        <w:t xml:space="preserve">net debt/EBITDA with no material maturities before April 2027. Note guidance excludes future buybacks, so a lower share count is a source of EPS upside not in the model.</w:t>
      </w:r>
    </w:p>
    <w:p>
      <w:r>
        <w:pict>
          <v:rect style="width:0;height:1.5pt" o:hralign="center" o:hrstd="t" o:hr="t"/>
        </w:pict>
      </w:r>
    </w:p>
    <w:bookmarkEnd w:id="14"/>
    <w:bookmarkStart w:id="15" w:name="what-to-watch-on-the-call"/>
    <w:p>
      <w:pPr>
        <w:pStyle w:val="Heading2"/>
      </w:pPr>
      <w:r>
        <w:t xml:space="preserve">What to watch on the call</w:t>
      </w:r>
    </w:p>
    <w:p>
      <w:pPr>
        <w:pStyle w:val="Compact"/>
        <w:numPr>
          <w:ilvl w:val="0"/>
          <w:numId w:val="1005"/>
        </w:numPr>
      </w:pPr>
      <w:r>
        <w:rPr>
          <w:b/>
          <w:bCs/>
        </w:rPr>
        <w:t xml:space="preserve">Full-year guidance action.</w:t>
      </w:r>
      <w:r>
        <w:t xml:space="preserve"> </w:t>
      </w:r>
      <w:r>
        <w:t xml:space="preserve">Does management raise the FY RevPAR/EBITDA/EPS ranges again? With Wyndham raising 2H domestic RevPAR, the bar is set for HLT to at least reaffirm the high end — a mere reaffirm could disappoint given the run-up.</w:t>
      </w:r>
    </w:p>
    <w:p>
      <w:pPr>
        <w:pStyle w:val="Compact"/>
        <w:numPr>
          <w:ilvl w:val="0"/>
          <w:numId w:val="1005"/>
        </w:numPr>
      </w:pPr>
      <w:r>
        <w:rPr>
          <w:b/>
          <w:bCs/>
        </w:rPr>
        <w:t xml:space="preserve">U.S. RevPAR trajectory &amp; July/August color</w:t>
      </w:r>
      <w:r>
        <w:t xml:space="preserve"> </w:t>
      </w:r>
      <w:r>
        <w:t xml:space="preserve">— evidence the "green shoots" are broadening into mid/lower chain scales and midweek business transient.</w:t>
      </w:r>
    </w:p>
    <w:p>
      <w:pPr>
        <w:pStyle w:val="Compact"/>
        <w:numPr>
          <w:ilvl w:val="0"/>
          <w:numId w:val="1005"/>
        </w:numPr>
      </w:pPr>
      <w:r>
        <w:rPr>
          <w:b/>
          <w:bCs/>
        </w:rPr>
        <w:t xml:space="preserve">Middle East recovery cadence</w:t>
      </w:r>
      <w:r>
        <w:t xml:space="preserve"> </w:t>
      </w:r>
      <w:r>
        <w:t xml:space="preserve">— country-by-country (Saudi resilient; UAE/Kuwait/Qatar more disrupted) and any read-through/knock-on to India (Bangalore), Maldives/Seychelles transit demand.</w:t>
      </w:r>
    </w:p>
    <w:p>
      <w:pPr>
        <w:pStyle w:val="Compact"/>
        <w:numPr>
          <w:ilvl w:val="0"/>
          <w:numId w:val="1005"/>
        </w:numPr>
      </w:pPr>
      <w:r>
        <w:rPr>
          <w:b/>
          <w:bCs/>
        </w:rPr>
        <w:t xml:space="preserve">Group booking pace</w:t>
      </w:r>
      <w:r>
        <w:t xml:space="preserve"> </w:t>
      </w:r>
      <w:r>
        <w:t xml:space="preserve">— in-the-year-for-the-year and forward lead volumes.</w:t>
      </w:r>
    </w:p>
    <w:p>
      <w:pPr>
        <w:pStyle w:val="Compact"/>
        <w:numPr>
          <w:ilvl w:val="0"/>
          <w:numId w:val="1005"/>
        </w:numPr>
      </w:pPr>
      <w:r>
        <w:rPr>
          <w:b/>
          <w:bCs/>
        </w:rPr>
        <w:t xml:space="preserve">Net unit growth confidence</w:t>
      </w:r>
      <w:r>
        <w:t xml:space="preserve"> </w:t>
      </w:r>
      <w:r>
        <w:t xml:space="preserve">— whether Middle East construction delays push 2026 NUG toward the low end of 6–7% (management framed this as timing, not attrition).</w:t>
      </w:r>
    </w:p>
    <w:p>
      <w:pPr>
        <w:pStyle w:val="Compact"/>
        <w:numPr>
          <w:ilvl w:val="0"/>
          <w:numId w:val="1005"/>
        </w:numPr>
      </w:pPr>
      <w:r>
        <w:rPr>
          <w:b/>
          <w:bCs/>
        </w:rPr>
        <w:t xml:space="preserve">AI/distribution</w:t>
      </w:r>
      <w:r>
        <w:t xml:space="preserve"> </w:t>
      </w:r>
      <w:r>
        <w:t xml:space="preserve">— traction of the Anthropic-powered Hilton AI Planner, app integrations with Google/OpenAI, and any margin/efficiency framing (Project Rise).</w:t>
      </w:r>
    </w:p>
    <w:p>
      <w:pPr>
        <w:pStyle w:val="Compact"/>
        <w:numPr>
          <w:ilvl w:val="0"/>
          <w:numId w:val="1005"/>
        </w:numPr>
      </w:pPr>
      <w:r>
        <w:rPr>
          <w:b/>
          <w:bCs/>
        </w:rPr>
        <w:t xml:space="preserve">China</w:t>
      </w:r>
      <w:r>
        <w:t xml:space="preserve"> </w:t>
      </w:r>
      <w:r>
        <w:t xml:space="preserve">— guided roughly flat; watch for stabilization vs. continued group/leisure pressure.</w:t>
      </w:r>
    </w:p>
    <w:p>
      <w:r>
        <w:pict>
          <v:rect style="width:0;height:1.5pt" o:hralign="center" o:hrstd="t" o:hr="t"/>
        </w:pict>
      </w:r>
    </w:p>
    <w:bookmarkEnd w:id="15"/>
    <w:bookmarkStart w:id="16" w:name="positioning--risk-skew"/>
    <w:p>
      <w:pPr>
        <w:pStyle w:val="Heading2"/>
      </w:pPr>
      <w:r>
        <w:t xml:space="preserve">Positioning &amp; risk skew</w:t>
      </w:r>
    </w:p>
    <w:p>
      <w:pPr>
        <w:pStyle w:val="FirstParagraph"/>
      </w:pPr>
      <w:r>
        <w:t xml:space="preserve">The stock ran to ~</w:t>
      </w:r>
      <m:oMath>
        <m:r>
          <m:t>350</m:t>
        </m:r>
        <m:r>
          <m:t>i</m:t>
        </m:r>
        <m:r>
          <m:t>n</m:t>
        </m:r>
        <m:r>
          <m:t>m</m:t>
        </m:r>
        <m:r>
          <m:t>i</m:t>
        </m:r>
        <m:r>
          <m:t>d</m:t>
        </m:r>
        <m:r>
          <m:rPr>
            <m:sty m:val="p"/>
          </m:rPr>
          <m:t>−</m:t>
        </m:r>
        <m:r>
          <m:t>J</m:t>
        </m:r>
        <m:r>
          <m:t>u</m:t>
        </m:r>
        <m:r>
          <m:t>n</m:t>
        </m:r>
        <m:r>
          <m:t>e</m:t>
        </m:r>
        <m:r>
          <m:rPr>
            <m:sty m:val="p"/>
          </m:rPr>
          <m:t>,</m:t>
        </m:r>
        <m:r>
          <m:t>p</m:t>
        </m:r>
        <m:r>
          <m:t>u</m:t>
        </m:r>
        <m:r>
          <m:t>l</m:t>
        </m:r>
        <m:r>
          <m:t>l</m:t>
        </m:r>
        <m:r>
          <m:t>e</m:t>
        </m:r>
        <m:r>
          <m:t>d</m:t>
        </m:r>
        <m:r>
          <m:t>b</m:t>
        </m:r>
        <m:r>
          <m:t>a</m:t>
        </m:r>
        <m:r>
          <m:t>c</m:t>
        </m:r>
        <m:r>
          <m:t>k</m:t>
        </m:r>
        <m:r>
          <m:t>t</m:t>
        </m:r>
        <m:r>
          <m:t>o</m:t>
        </m:r>
        <m:r>
          <m:t>t</m:t>
        </m:r>
        <m:r>
          <m:t>h</m:t>
        </m:r>
        <m:r>
          <m:t>e</m:t>
        </m:r>
        <m:r>
          <m:t>l</m:t>
        </m:r>
        <m:r>
          <m:t>o</m:t>
        </m:r>
        <m:r>
          <m:t>w</m:t>
        </m:r>
        <m:r>
          <m:rPr>
            <m:sty m:val="p"/>
          </m:rPr>
          <m:t>−</m:t>
        </m:r>
      </m:oMath>
      <w:r>
        <w:t xml:space="preserve">320s in mid-July, and recovered to ~$331 into the print — so it is</w:t>
      </w:r>
      <w:r>
        <w:t xml:space="preserve"> </w:t>
      </w:r>
      <w:r>
        <w:rPr>
          <w:b/>
          <w:bCs/>
        </w:rPr>
        <w:t xml:space="preserve">not</w:t>
      </w:r>
      <w:r>
        <w:t xml:space="preserve"> </w:t>
      </w:r>
      <w:r>
        <w:t xml:space="preserve">at highs, which cushions downside somewhat. Still, valuation is full for an asset-light compounder, and consensus already sits at/above the top of the guided range.</w:t>
      </w:r>
    </w:p>
    <w:p>
      <w:pPr>
        <w:pStyle w:val="Compact"/>
        <w:numPr>
          <w:ilvl w:val="0"/>
          <w:numId w:val="1006"/>
        </w:numPr>
      </w:pPr>
      <w:r>
        <w:rPr>
          <w:b/>
          <w:bCs/>
        </w:rPr>
        <w:t xml:space="preserve">Upside driver:</w:t>
      </w:r>
      <w:r>
        <w:t xml:space="preserve"> </w:t>
      </w:r>
      <w:r>
        <w:t xml:space="preserve">a clean U.S. RevPAR acceleration + FY raise + confirmation the C-shaped convergence is real → re-rating fuel.</w:t>
      </w:r>
    </w:p>
    <w:p>
      <w:pPr>
        <w:pStyle w:val="Compact"/>
        <w:numPr>
          <w:ilvl w:val="0"/>
          <w:numId w:val="1006"/>
        </w:numPr>
      </w:pPr>
      <w:r>
        <w:rPr>
          <w:b/>
          <w:bCs/>
        </w:rPr>
        <w:t xml:space="preserve">Downside risk:</w:t>
      </w:r>
      <w:r>
        <w:t xml:space="preserve"> </w:t>
      </w:r>
      <w:r>
        <w:t xml:space="preserve">an in-line/near-top print with the Middle East and Q2 comp noise obscuring the underlying beat, plus a cautious "we're being conservative" FY reaffirm → "priced for perfection" pullback.</w:t>
      </w:r>
    </w:p>
    <w:p>
      <w:pPr>
        <w:pStyle w:val="FirstParagraph"/>
      </w:pPr>
      <w:r>
        <w:rPr>
          <w:b/>
          <w:bCs/>
        </w:rPr>
        <w:t xml:space="preserve">Minor/idiosyncratic items:</w:t>
      </w:r>
      <w:r>
        <w:t xml:space="preserve"> </w:t>
      </w:r>
      <w:r>
        <w:t xml:space="preserve">Hilton is exiting two Frankfurt management agreements after the U.S. sanctioned the properties' owner — immaterial financially, but a reminder of geopolitical/compliance tail risk embedded in a global franchisor.</w:t>
      </w:r>
    </w:p>
    <w:p>
      <w:pPr>
        <w:pStyle w:val="BodyText"/>
      </w:pPr>
      <w:r>
        <w:rPr>
          <w:b/>
          <w:bCs/>
        </w:rPr>
        <w:t xml:space="preserve">Bottom line:</w:t>
      </w:r>
      <w:r>
        <w:t xml:space="preserve"> </w:t>
      </w:r>
      <w:r>
        <w:t xml:space="preserve">Focus past the headline growth rate. The signal to trade on is (1) the magnitude and confidence of any full-year raise, (2) U.S./business-transient RevPAR trends confirming the demand inflection, and (3) reassurance on 6–7% NUG. The peer read from Wyndham tilts the fundamental setup positive; the risk is that a demanding bar and Q2's built-in optical drags mute the market's reaction.</w:t>
      </w:r>
    </w:p>
    <w:p>
      <w:pPr>
        <w:pStyle w:val="BodyText"/>
      </w:pPr>
      <w:r>
        <w:rPr>
          <w:i/>
          <w:iCs/>
        </w:rPr>
        <w:t xml:space="preserve">Note: All figures reflect Hilton's Q1 2026 results/guidance (reported 4/28/2026), the pre-earnings consensus digest (7/24/2026), and Wyndham's Q2 2026 release (7/22/2026). Actual Q2 results were not yet available at the time of writing.</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2026-07-28T00:32:47Z</dcterms:created>
  <dcterms:modified xsi:type="dcterms:W3CDTF">2026-07-28T00:32:47Z</dcterms:modified>
</cp:coreProperties>
</file>

<file path=docProps/custom.xml><?xml version="1.0" encoding="utf-8"?>
<Properties xmlns="http://schemas.openxmlformats.org/officeDocument/2006/custom-properties" xmlns:vt="http://schemas.openxmlformats.org/officeDocument/2006/docPropsVTypes"/>
</file>