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6dacec0ae87c229fc9aa348d0e10257762d58c"/>
    <w:p>
      <w:pPr>
        <w:pStyle w:val="Heading1"/>
      </w:pPr>
      <w:r>
        <w:t xml:space="preserve">Hilton Worldwide Holdings (HLT) — Q2 2026 Earnings Preview</w:t>
      </w:r>
    </w:p>
    <w:p>
      <w:pPr>
        <w:pStyle w:val="FirstParagraph"/>
      </w:pPr>
      <w:r>
        <w:rPr>
          <w:b/>
          <w:bCs/>
        </w:rPr>
        <w:t xml:space="preserve">Report Date:</w:t>
      </w:r>
      <w:r>
        <w:t xml:space="preserve"> </w:t>
      </w:r>
      <w:r>
        <w:t xml:space="preserve">Tuesday, July 28, 2026, before market open | Call: 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Hilton heads into tomorrow's report with shares around</w:t>
      </w:r>
      <w:r>
        <w:t xml:space="preserve"> </w:t>
      </w:r>
      <w:r>
        <w:rPr>
          <w:b/>
          <w:bCs/>
        </w:rPr>
        <w:t xml:space="preserve">$331</w:t>
      </w:r>
      <w:r>
        <w:t xml:space="preserve"> </w:t>
      </w:r>
      <w:r>
        <w:t xml:space="preserve">(July 27 close), up modestly off mid-July lows near $320 but well below the June peak of roughly $350. The stock has been a strong long-term performer — HLT has rallied 25.3% over the past 52 weeks, considerably outperforming both the S&amp;P 500 Index's 19.9% return and the State Street Consumer Discretionary Select Sector SPDR ETF's 7.2% uptick over the same time period — but it also carries a premium multiple that raises the bar for results. From a valuation point of view, the stock is trading at a premium, with HLT's forward 12-month price-to-earnings ratio standing at 32.84, higher than the industry's ratio of 21.16.</w:t>
      </w:r>
    </w:p>
    <w:p>
      <w:pPr>
        <w:pStyle w:val="BodyText"/>
      </w:pPr>
      <w:r>
        <w:t xml:space="preserve">Sentiment heading in is constructive: the company has topped Wall Street's bottom-line estimates in each of the last four quarters, and in the last reported quarter, the company's earnings beat the Zacks Consensus Estimate by 2.6%, with HLT's earnings surpassing estimates in each of the trailing four quarters, at an average surprise of 4.6%.</w:t>
      </w:r>
    </w:p>
    <w:bookmarkEnd w:id="9"/>
    <w:bookmarkStart w:id="10" w:name="what-wall-street-is-modeling"/>
    <w:p>
      <w:pPr>
        <w:pStyle w:val="Heading2"/>
      </w:pPr>
      <w:r>
        <w:t xml:space="preserve">What Wall Street Is Modeling</w:t>
      </w:r>
    </w:p>
    <w:p>
      <w:pPr>
        <w:pStyle w:val="FirstParagraph"/>
      </w:pPr>
      <w:r>
        <w:t xml:space="preserve">Consensus has crept higher over the past month:</w:t>
      </w:r>
    </w:p>
    <w:p>
      <w:pPr>
        <w:pStyle w:val="Compact"/>
        <w:numPr>
          <w:ilvl w:val="0"/>
          <w:numId w:val="1001"/>
        </w:numPr>
      </w:pPr>
      <w:r>
        <w:rPr>
          <w:b/>
          <w:bCs/>
        </w:rPr>
        <w:t xml:space="preserve">EPS:</w:t>
      </w:r>
      <w:r>
        <w:t xml:space="preserve"> </w:t>
      </w:r>
      <w:r>
        <w:t xml:space="preserve">The Zacks Consensus Estimate for second-quarter EPS has increased to $2.28 from $2.27 in the past 7 days, indicating a 3.6% increase from the year-ago EPS of $2.20.</w:t>
      </w:r>
    </w:p>
    <w:p>
      <w:pPr>
        <w:pStyle w:val="Compact"/>
        <w:numPr>
          <w:ilvl w:val="0"/>
          <w:numId w:val="1001"/>
        </w:numPr>
      </w:pPr>
      <w:r>
        <w:rPr>
          <w:b/>
          <w:bCs/>
        </w:rPr>
        <w:t xml:space="preserve">Revenue:</w:t>
      </w:r>
      <w:r>
        <w:t xml:space="preserve"> </w:t>
      </w:r>
      <w:r>
        <w:t xml:space="preserve">The consensus mark for revenues is pegged at $3.36 billion, indicating 7.2% year-over-year growth.</w:t>
      </w:r>
    </w:p>
    <w:p>
      <w:pPr>
        <w:pStyle w:val="Compact"/>
        <w:numPr>
          <w:ilvl w:val="0"/>
          <w:numId w:val="1001"/>
        </w:numPr>
      </w:pPr>
      <w:r>
        <w:rPr>
          <w:b/>
          <w:bCs/>
        </w:rPr>
        <w:t xml:space="preserve">RevPAR:</w:t>
      </w:r>
      <w:r>
        <w:t xml:space="preserve"> </w:t>
      </w:r>
      <w:r>
        <w:t xml:space="preserve">Street models roughly 2.5% FXN system-wide RevPAR growth, consistent with management's own guidance range.</w:t>
      </w:r>
    </w:p>
    <w:p>
      <w:pPr>
        <w:pStyle w:val="Compact"/>
        <w:numPr>
          <w:ilvl w:val="0"/>
          <w:numId w:val="1001"/>
        </w:numPr>
      </w:pPr>
      <w:r>
        <w:t xml:space="preserve">Full-year 2026 consensus stands at a profit of $9.03 per share, representing an 11.3% increase from $8.11 per share in fiscal 2025, with EPS expected to grow 16.7% year over year to $10.54 in fiscal 2027.</w:t>
      </w:r>
    </w:p>
    <w:p>
      <w:pPr>
        <w:pStyle w:val="FirstParagraph"/>
      </w:pPr>
      <w:r>
        <w:t xml:space="preserve">This lines up closely with</w:t>
      </w:r>
      <w:r>
        <w:t xml:space="preserve"> </w:t>
      </w:r>
      <w:r>
        <w:rPr>
          <w:b/>
          <w:bCs/>
        </w:rPr>
        <w:t xml:space="preserve">management's own Q2 guidance</w:t>
      </w:r>
      <w:r>
        <w:t xml:space="preserve"> </w:t>
      </w:r>
      <w:r>
        <w:t xml:space="preserve">issued on the Q1 call: system-wide RevPAR growth of 2%–3%, Adjusted EBITDA of</w:t>
      </w:r>
      <w:r>
        <w:t xml:space="preserve"> </w:t>
      </w:r>
      <m:oMath>
        <m:r>
          <m:t>1.015</m:t>
        </m:r>
        <m:r>
          <m:t>B</m:t>
        </m:r>
        <m:r>
          <m:rPr>
            <m:sty m:val="p"/>
          </m:rPr>
          <m:t>–</m:t>
        </m:r>
      </m:oMath>
      <w:r>
        <w:t xml:space="preserve">1.035B, and adjusted diluted EPS of</w:t>
      </w:r>
      <w:r>
        <w:t xml:space="preserve"> </w:t>
      </w:r>
      <m:oMath>
        <m:r>
          <m:t>2.18</m:t>
        </m:r>
        <m:r>
          <m:rPr>
            <m:sty m:val="p"/>
          </m:rPr>
          <m:t>–</m:t>
        </m:r>
      </m:oMath>
      <w:r>
        <w:t xml:space="preserve">2.24 — a range investors should watch closely relative to the ~$2.28 Street number, since a beat versus Hilton's own guide (which already embeds Middle East disruption) is really what matters, not just the y/y growth rate.</w:t>
      </w:r>
    </w:p>
    <w:bookmarkEnd w:id="10"/>
    <w:bookmarkStart w:id="11" w:name="Xa700debd445a41750f699dbce913c4e65f725ef"/>
    <w:p>
      <w:pPr>
        <w:pStyle w:val="Heading2"/>
      </w:pPr>
      <w:r>
        <w:t xml:space="preserve">Q1 Recap: Strong Beat, Raised Full-Year Outlook</w:t>
      </w:r>
    </w:p>
    <w:p>
      <w:pPr>
        <w:pStyle w:val="FirstParagraph"/>
      </w:pPr>
      <w:r>
        <w:t xml:space="preserve">Hilton's Q1 2026 print was solid and set an optimistic tone. The company delivered system-wide RevPAR growth of 3.6% year-over-year-type strength across segments, with</w:t>
      </w:r>
      <w:r>
        <w:t xml:space="preserve"> </w:t>
      </w:r>
      <w:r>
        <w:rPr>
          <w:b/>
          <w:bCs/>
        </w:rPr>
        <w:t xml:space="preserve">Adjusted EBITDA of $901 million, up 13% year-over-year and above the high end of guidance</w:t>
      </w:r>
      <w:r>
        <w:t xml:space="preserve">, driven by broad RevPAR strength. Management raised full-year system-wide RevPAR guidance to 2%–3% and reaffirmed 6%–7% net unit growth, while highlighting a record development pipeline of 527,000 rooms. The company also returned</w:t>
      </w:r>
      <w:r>
        <w:t xml:space="preserve"> </w:t>
      </w:r>
      <m:oMath>
        <m:r>
          <m:t>860</m:t>
        </m:r>
        <m:r>
          <m:t>m</m:t>
        </m:r>
        <m:r>
          <m:t>i</m:t>
        </m:r>
        <m:r>
          <m:t>l</m:t>
        </m:r>
        <m:r>
          <m:t>l</m:t>
        </m:r>
        <m:r>
          <m:t>i</m:t>
        </m:r>
        <m:r>
          <m:t>o</m:t>
        </m:r>
        <m:r>
          <m:t>n</m:t>
        </m:r>
        <m:r>
          <m:t>t</m:t>
        </m:r>
        <m:r>
          <m:t>o</m:t>
        </m:r>
        <m:r>
          <m:t>s</m:t>
        </m:r>
        <m:r>
          <m:t>h</m:t>
        </m:r>
        <m:r>
          <m:t>a</m:t>
        </m:r>
        <m:r>
          <m:t>r</m:t>
        </m:r>
        <m:r>
          <m:t>e</m:t>
        </m:r>
        <m:r>
          <m:t>h</m:t>
        </m:r>
        <m:r>
          <m:t>o</m:t>
        </m:r>
        <m:r>
          <m:t>l</m:t>
        </m:r>
        <m:r>
          <m:t>d</m:t>
        </m:r>
        <m:r>
          <m:t>e</m:t>
        </m:r>
        <m:r>
          <m:t>r</m:t>
        </m:r>
        <m:r>
          <m:t>s</m:t>
        </m:r>
        <m:r>
          <m:t>i</m:t>
        </m:r>
        <m:r>
          <m:t>n</m:t>
        </m:r>
        <m:r>
          <m:t>t</m:t>
        </m:r>
        <m:r>
          <m:t>h</m:t>
        </m:r>
        <m:r>
          <m:t>e</m:t>
        </m:r>
        <m:r>
          <m:t>q</m:t>
        </m:r>
        <m:r>
          <m:t>u</m:t>
        </m:r>
        <m:r>
          <m:t>a</m:t>
        </m:r>
        <m:r>
          <m:t>r</m:t>
        </m:r>
        <m:r>
          <m:t>t</m:t>
        </m:r>
        <m:r>
          <m:t>e</m:t>
        </m:r>
        <m:r>
          <m:t>r</m:t>
        </m:r>
        <m:r>
          <m:t>a</m:t>
        </m:r>
        <m:r>
          <m:t>n</m:t>
        </m:r>
        <m:r>
          <m:t>d</m:t>
        </m:r>
        <m:r>
          <m:t>r</m:t>
        </m:r>
        <m:r>
          <m:t>e</m:t>
        </m:r>
        <m:r>
          <m:t>i</m:t>
        </m:r>
        <m:r>
          <m:t>t</m:t>
        </m:r>
        <m:r>
          <m:t>e</m:t>
        </m:r>
        <m:r>
          <m:t>r</m:t>
        </m:r>
        <m:r>
          <m:t>a</m:t>
        </m:r>
        <m:r>
          <m:t>t</m:t>
        </m:r>
        <m:r>
          <m:t>e</m:t>
        </m:r>
        <m:r>
          <m:t>d</m:t>
        </m:r>
        <m:r>
          <m:t>a</m:t>
        </m:r>
        <m:r>
          <m:t> </m:t>
        </m:r>
      </m:oMath>
      <w:r>
        <w:t xml:space="preserve">3.5 billion capital return target for 2026.</w:t>
      </w:r>
    </w:p>
    <w:bookmarkEnd w:id="11"/>
    <w:bookmarkStart w:id="12" w:name="X5f52eec97dfd2fbad5edb624726758a3e6e74db"/>
    <w:p>
      <w:pPr>
        <w:pStyle w:val="Heading2"/>
      </w:pPr>
      <w:r>
        <w:t xml:space="preserve">The Big Narrative: The "C-Shaped Economy" and Middle East Drag</w:t>
      </w:r>
    </w:p>
    <w:p>
      <w:pPr>
        <w:pStyle w:val="FirstParagraph"/>
      </w:pPr>
      <w:r>
        <w:t xml:space="preserve">Two threads from the Q1 call will likely dominate tomorrow's Q&amp;A:</w:t>
      </w:r>
    </w:p>
    <w:p>
      <w:pPr>
        <w:pStyle w:val="BodyText"/>
      </w:pPr>
      <w:r>
        <w:rPr>
          <w:b/>
          <w:bCs/>
        </w:rPr>
        <w:t xml:space="preserve">1. Convergence/broadening demand ("C-shaped economy").</w:t>
      </w:r>
      <w:r>
        <w:t xml:space="preserve"> </w:t>
      </w:r>
      <w:r>
        <w:t xml:space="preserve">CEO Chris Nassetta has been building a thesis for several quarters that middle- and lower-income consumer demand — supported by tax policy, deregulation, AI/data-center capex, and infrastructure spending — is starting to catch up to high-end demand strength, converging RevPAR growth across chain scales rather than leaving lower/mid-tier hotels behind. Investors will want confirmation that this trend continued through Q2 (a full quarter of data) rather than being a one-quarter blip, and whether it's translating into upside versus the initial full-year RevPAR guide.</w:t>
      </w:r>
    </w:p>
    <w:p>
      <w:pPr>
        <w:pStyle w:val="BodyText"/>
      </w:pPr>
      <w:r>
        <w:rPr>
          <w:b/>
          <w:bCs/>
        </w:rPr>
        <w:t xml:space="preserve">2. Middle East conflict impact.</w:t>
      </w:r>
      <w:r>
        <w:t xml:space="preserve"> </w:t>
      </w:r>
      <w:r>
        <w:t xml:space="preserve">Management flagged that Q2 would be the most exposed quarter to the Middle East conflict, given the region is roughly 3% of the business but was expected to be down as much as 50% in Q2, creating an estimated ~1.5-point drag on system-wide RevPAR — larger than the ~30-40bp hit seen in Q1. Notably, geopolitical headlines have shifted incrementally more positive recently: as of July 27, reporting indicates the Trump administration has paused strikes on Iran to restart negotiations, which — if the trend holds — could support a less severe Middle East drag than originally guided, and possibly commentary on stabilization in markets like Saudi Arabia even as UAE, Kuwait and Qatar remained more disrupted.</w:t>
      </w:r>
    </w:p>
    <w:p>
      <w:pPr>
        <w:pStyle w:val="BodyText"/>
      </w:pPr>
      <w:r>
        <w:t xml:space="preserve">Watch for: updated full-year RevPAR/EBITDA guidance reflecting the trajectory of the conflict, and any commentary on knock-on effects to adjacent markets (India/Bangalore, Seychelles/Maldives via Dubai transit were cited previously).</w:t>
      </w:r>
    </w:p>
    <w:bookmarkEnd w:id="12"/>
    <w:bookmarkStart w:id="13" w:name="development--net-unit-growth"/>
    <w:p>
      <w:pPr>
        <w:pStyle w:val="Heading2"/>
      </w:pPr>
      <w:r>
        <w:t xml:space="preserve">Development &amp; Net Unit Growth</w:t>
      </w:r>
    </w:p>
    <w:p>
      <w:pPr>
        <w:pStyle w:val="FirstParagraph"/>
      </w:pPr>
      <w:r>
        <w:t xml:space="preserve">Hilton's asset-light, fee-based model continues to be underpinned by industry-leading unit growth. As of Q1, the company had a record 527,000-room pipeline, guided to 6%–7% net unit growth for the year, and called out accelerating construction starts (&gt;20% growth expected for the year). Key items to track this quarter:</w:t>
      </w:r>
    </w:p>
    <w:p>
      <w:pPr>
        <w:pStyle w:val="Compact"/>
        <w:numPr>
          <w:ilvl w:val="0"/>
          <w:numId w:val="1002"/>
        </w:numPr>
      </w:pPr>
      <w:r>
        <w:t xml:space="preserve">Whether conversions remain elevated (~38–40% of openings, per Q1 commentary) as new construction gradually recovers</w:t>
      </w:r>
    </w:p>
    <w:p>
      <w:pPr>
        <w:pStyle w:val="Compact"/>
        <w:numPr>
          <w:ilvl w:val="0"/>
          <w:numId w:val="1002"/>
        </w:numPr>
      </w:pPr>
      <w:r>
        <w:t xml:space="preserve">Progress on luxury/lifestyle expansion (Waldorf Astoria, LXR, Curio, Motto) and newer brand initiatives like</w:t>
      </w:r>
      <w:r>
        <w:t xml:space="preserve"> </w:t>
      </w:r>
      <w:r>
        <w:rPr>
          <w:b/>
          <w:bCs/>
        </w:rPr>
        <w:t xml:space="preserve">Select by Hilton</w:t>
      </w:r>
      <w:r>
        <w:t xml:space="preserve"> </w:t>
      </w:r>
      <w:r>
        <w:t xml:space="preserve">(the YOTEL franchise agreement) and</w:t>
      </w:r>
      <w:r>
        <w:t xml:space="preserve"> </w:t>
      </w:r>
      <w:r>
        <w:rPr>
          <w:b/>
          <w:bCs/>
        </w:rPr>
        <w:t xml:space="preserve">Undergraduate by Hilton</w:t>
      </w:r>
      <w:r>
        <w:t xml:space="preserve">, a new campus-focused brand unveiled June 1 that builds on the Graduate brand.</w:t>
      </w:r>
    </w:p>
    <w:p>
      <w:pPr>
        <w:pStyle w:val="Compact"/>
        <w:numPr>
          <w:ilvl w:val="0"/>
          <w:numId w:val="1002"/>
        </w:numPr>
      </w:pPr>
      <w:r>
        <w:t xml:space="preserve">Any Middle East-related slippage in openings/signings given regional disruption (management previously said delays, not cancellations, were the risk)</w:t>
      </w:r>
    </w:p>
    <w:bookmarkEnd w:id="13"/>
    <w:bookmarkStart w:id="14" w:name="ai-and-technology-investment"/>
    <w:p>
      <w:pPr>
        <w:pStyle w:val="Heading2"/>
      </w:pPr>
      <w:r>
        <w:t xml:space="preserve">AI and Technology Investment</w:t>
      </w:r>
    </w:p>
    <w:p>
      <w:pPr>
        <w:pStyle w:val="FirstParagraph"/>
      </w:pPr>
      <w:r>
        <w:t xml:space="preserve">Hilton continues to lean into AI as a differentiator — both for efficiency (a large share of system costs relate to owner-operated hotels) and for distribution (the Hilton AI Planner built with Anthropic, plus integrations with Google and OpenAI). Management has framed its ~25% share of the U.S. quality hotel market as a strategic asset that gives it leverage in negotiating with AI/search platforms. Expect continued qualitative updates here rather than hard financial disclosure, but investors should listen for any signs of monetization or measurable efficiency gains (e.g., in the "Project Rise" cost program referenced last quarter).</w:t>
      </w:r>
    </w:p>
    <w:bookmarkEnd w:id="14"/>
    <w:bookmarkStart w:id="15" w:name="capital-returns-and-balance-sheet"/>
    <w:p>
      <w:pPr>
        <w:pStyle w:val="Heading2"/>
      </w:pPr>
      <w:r>
        <w:t xml:space="preserve">Capital Returns and Balance Sheet</w:t>
      </w:r>
    </w:p>
    <w:p>
      <w:pPr>
        <w:pStyle w:val="FirstParagraph"/>
      </w:pPr>
      <w:r>
        <w:t xml:space="preserve">Hilton remains a capital-return story: $3.5 billion targeted for 2026 in buybacks and dividends, a $0.15/share quarterly dividend, and net debt-to-EBITDA around 3.1x as of Q1. With free cash flow generation intact, watch for confirmation of the full-year $3.5B capital return pace and any update on leverage targets.</w:t>
      </w:r>
    </w:p>
    <w:bookmarkEnd w:id="15"/>
    <w:bookmarkStart w:id="16" w:name="peer-read-throughs-and-sector-backdrop"/>
    <w:p>
      <w:pPr>
        <w:pStyle w:val="Heading2"/>
      </w:pPr>
      <w:r>
        <w:t xml:space="preserve">Peer Read-Throughs and Sector Backdrop</w:t>
      </w:r>
    </w:p>
    <w:p>
      <w:pPr>
        <w:pStyle w:val="FirstParagraph"/>
      </w:pPr>
      <w:r>
        <w:t xml:space="preserve">Early Q2 travel-sector reports have been mixed-to-strong: Delta delivered year-on-year revenue growth of 18.7%, beating analysts' expectations by 3.9%, and Travel + Leisure reported revenues up 4.4%, topping estimates by 1.6%, though Delta traded down 3.2% following the results while Travel + Leisure's stock price was unchanged. More broadly, travel and vacation providers stocks have shown solid performance in this choppy environment but the group has generally underperformed, with share prices down 4.1% on average over the last month, reflecting rotating macro anxieties (AI capex debate, rates, geopolitics) rather than fundamentals.</w:t>
      </w:r>
    </w:p>
    <w:bookmarkEnd w:id="16"/>
    <w:bookmarkStart w:id="17" w:name="miscellaneous--lower-priority-items"/>
    <w:p>
      <w:pPr>
        <w:pStyle w:val="Heading2"/>
      </w:pPr>
      <w:r>
        <w:t xml:space="preserve">Miscellaneous / Lower-Priority Items</w:t>
      </w:r>
    </w:p>
    <w:p>
      <w:pPr>
        <w:pStyle w:val="Compact"/>
        <w:numPr>
          <w:ilvl w:val="0"/>
          <w:numId w:val="1003"/>
        </w:numPr>
      </w:pPr>
      <w:r>
        <w:rPr>
          <w:b/>
          <w:bCs/>
        </w:rPr>
        <w:t xml:space="preserve">Frankfurt hotel exit:</w:t>
      </w:r>
      <w:r>
        <w:t xml:space="preserve"> </w:t>
      </w:r>
      <w:r>
        <w:t xml:space="preserve">Hilton is reportedly moving to terminate two Frankfurt hotel management agreements after the U.S. sanctioned the properties' longtime owner, tied to alleged financing links to Iran's Supreme Leader's inner circle. This is immaterial financially but could draw a question on counterparty/reputational risk management in EMEA.</w:t>
      </w:r>
    </w:p>
    <w:p>
      <w:pPr>
        <w:pStyle w:val="Compact"/>
        <w:numPr>
          <w:ilvl w:val="0"/>
          <w:numId w:val="1003"/>
        </w:numPr>
      </w:pPr>
      <w:r>
        <w:rPr>
          <w:b/>
          <w:bCs/>
        </w:rPr>
        <w:t xml:space="preserve">Zacks model</w:t>
      </w:r>
      <w:r>
        <w:t xml:space="preserve"> </w:t>
      </w:r>
      <w:r>
        <w:t xml:space="preserve">currently predicts an earnings beat for Hilton, citing a positive Earnings ESP combined with its Hold rating, a combination the firm associates with higher beat odds.</w:t>
      </w:r>
    </w:p>
    <w:bookmarkEnd w:id="17"/>
    <w:bookmarkStart w:id="18" w:name="key-questions-for-the-call"/>
    <w:p>
      <w:pPr>
        <w:pStyle w:val="Heading2"/>
      </w:pPr>
      <w:r>
        <w:t xml:space="preserve">Key Questions for the Call</w:t>
      </w:r>
    </w:p>
    <w:p>
      <w:pPr>
        <w:pStyle w:val="Compact"/>
        <w:numPr>
          <w:ilvl w:val="0"/>
          <w:numId w:val="1004"/>
        </w:numPr>
      </w:pPr>
      <w:r>
        <w:t xml:space="preserve">Did the "C-shaped economy" convergence broaden further in Q2, and is management raising full-year RevPAR guidance beyond 2%–3%?</w:t>
      </w:r>
    </w:p>
    <w:p>
      <w:pPr>
        <w:pStyle w:val="Compact"/>
        <w:numPr>
          <w:ilvl w:val="0"/>
          <w:numId w:val="1004"/>
        </w:numPr>
      </w:pPr>
      <w:r>
        <w:t xml:space="preserve">How severe was the actual Middle East drag versus the ~1.5-point Q2 guidance, and has the geopolitical de-escalation narrative (Iran talks resuming) changed the full-year assumption (previously 0.5–1.0 point drag)?</w:t>
      </w:r>
    </w:p>
    <w:p>
      <w:pPr>
        <w:pStyle w:val="Compact"/>
        <w:numPr>
          <w:ilvl w:val="0"/>
          <w:numId w:val="1004"/>
        </w:numPr>
      </w:pPr>
      <w:r>
        <w:t xml:space="preserve">Is net unit growth tracking to the high end of 6%–7%, or has Middle East disruption pushed some openings into 2027?</w:t>
      </w:r>
    </w:p>
    <w:p>
      <w:pPr>
        <w:pStyle w:val="Compact"/>
        <w:numPr>
          <w:ilvl w:val="0"/>
          <w:numId w:val="1004"/>
        </w:numPr>
      </w:pPr>
      <w:r>
        <w:t xml:space="preserve">Any update on conversion mix, Select by Hilton pipeline additions beyond YOTEL, or new brand signings?</w:t>
      </w:r>
    </w:p>
    <w:p>
      <w:pPr>
        <w:pStyle w:val="Compact"/>
        <w:numPr>
          <w:ilvl w:val="0"/>
          <w:numId w:val="1004"/>
        </w:numPr>
      </w:pPr>
      <w:r>
        <w:t xml:space="preserve">Capital return cadence — on track for the full $3.5 billion, and any change in buyback pace given the stock's valuation?</w:t>
      </w:r>
    </w:p>
    <w:p>
      <w:pPr>
        <w:pStyle w:val="Compact"/>
        <w:numPr>
          <w:ilvl w:val="0"/>
          <w:numId w:val="1004"/>
        </w:numPr>
      </w:pPr>
      <w:r>
        <w:t xml:space="preserve">Concrete signs of AI-driven efficiency or distribution benefits translating into margin or fee growth?</w:t>
      </w:r>
    </w:p>
    <w:bookmarkEnd w:id="18"/>
    <w:bookmarkStart w:id="19" w:name="bottom-line"/>
    <w:p>
      <w:pPr>
        <w:pStyle w:val="Heading2"/>
      </w:pPr>
      <w:r>
        <w:t xml:space="preserve">Bottom Line</w:t>
      </w:r>
    </w:p>
    <w:p>
      <w:pPr>
        <w:pStyle w:val="FirstParagraph"/>
      </w:pPr>
      <w:r>
        <w:t xml:space="preserve">Hilton goes into Q2 earnings with a credible beat-and-raise track record, a management team expressing genuine confidence in broadening U.S. demand, and a record development pipeline supporting its net-unit-growth algorithm — but also a stock priced for perfection at ~33x forward earnings and a quarter that management itself flagged as the most exposed to Middle East disruption and one-time prior-year comparison items. The reaction is likely to hinge less on the headline EPS/revenue beat-or-miss and more on (1) the tone of full-year guidance revisions and (2) whether the "C-shaped economy" demand convergence thesis is confirmed with hard data across a second full quarter.</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2026-07-28T00:32:52Z</dcterms:created>
  <dcterms:modified xsi:type="dcterms:W3CDTF">2026-07-28T00:32:52Z</dcterms:modified>
</cp:coreProperties>
</file>

<file path=docProps/custom.xml><?xml version="1.0" encoding="utf-8"?>
<Properties xmlns="http://schemas.openxmlformats.org/officeDocument/2006/custom-properties" xmlns:vt="http://schemas.openxmlformats.org/officeDocument/2006/docPropsVTypes"/>
</file>