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lt-earnings-predictions--2026-07-28"/>
    <w:p>
      <w:pPr>
        <w:pStyle w:val="Heading1"/>
      </w:pPr>
      <w:r>
        <w:t xml:space="preserve">HLT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currency-neutral systemwide RevPAR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~2.7% vs. cons 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~$1.040B vs. cons $1.030B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~$2.28 vs. cons $2.25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EBITDA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~$1.08B midpoint vs. cons $1.10B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Currency-neutral systemwide RevPAR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~2.5% midpoint vs. cons 2.5%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~$4.05B midpoint vs. cons $4.05B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~$8.98 midpoint vs. cons $8.92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-2.8% (FOLLOW-THROUGH)</w:t>
            </w:r>
          </w:p>
        </w:tc>
        <w:tc>
          <w:tcPr/>
          <w:p>
            <w:pPr>
              <w:pStyle w:val="Compact"/>
            </w:pPr>
            <w:r>
              <w:t xml:space="preserve">A ~$1.040B Q2 result versus $1.030B consensus is offset by Q3 guidance near $1.08B versus $1.10B consensus. FY2026 EBITDA near $4.05B versus</w:t>
            </w:r>
            <w:r>
              <w:t xml:space="preserve"> </w:t>
            </w:r>
            <m:oMath>
              <m:r>
                <m:t>4.05</m:t>
              </m:r>
              <m:r>
                <m:t>B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2.109B of second-half EBITDA versus the pre-report consensus math of roughly $2.119B, prompting modest out-period estimate cuts despite the EPS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2026-07-28T00:34:26Z</dcterms:created>
  <dcterms:modified xsi:type="dcterms:W3CDTF">2026-07-28T00:34:26Z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