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2d1003795e964b5224ff2c05c0fce5e4b83e5b"/>
    <w:p>
      <w:pPr>
        <w:pStyle w:val="Heading1"/>
      </w:pPr>
      <w:r>
        <w:t xml:space="preserve">Hilton Worldwide (HLT) — Q2 2026 Earnings Preview</w:t>
      </w:r>
    </w:p>
    <w:p>
      <w:pPr>
        <w:pStyle w:val="BlockText"/>
      </w:pPr>
      <w:r>
        <w:rPr>
          <w:b/>
          <w:bCs/>
        </w:rPr>
        <w:t xml:space="preserve">Timing note:</w:t>
      </w:r>
      <w:r>
        <w:t xml:space="preserve"> </w:t>
      </w:r>
      <w:r>
        <w:t xml:space="preserve">July 28, 2026 is today, not tomorrow. Hilton’s official investor-relations calendar schedules the Q2 2026 earnings call for</w:t>
      </w:r>
      <w:r>
        <w:t xml:space="preserve"> </w:t>
      </w:r>
      <w:r>
        <w:rPr>
          <w:b/>
          <w:bCs/>
        </w:rPr>
        <w:t xml:space="preserve">Tuesday, July 28 at 9:00 a.m. ET</w:t>
      </w:r>
      <w:r>
        <w:t xml:space="preserve">. At the time of this research, Hilton’s quarterly-results page listed the webcast but had not yet posted the Q2 earnings release. This preview therefore uses the information available immediately before the report. (</w:t>
      </w:r>
      <w:hyperlink r:id="rId9">
        <w:r>
          <w:rPr>
            <w:rStyle w:val="Hyperlink"/>
          </w:rPr>
          <w:t xml:space="preserve">ir.hilton.com</w:t>
        </w:r>
      </w:hyperlink>
      <w:r>
        <w:t xml:space="preserve">)</w:t>
      </w:r>
    </w:p>
    <w:bookmarkStart w:id="10" w:name="executive-view"/>
    <w:p>
      <w:pPr>
        <w:pStyle w:val="Heading2"/>
      </w:pPr>
      <w:r>
        <w:t xml:space="preserve">Executive view</w:t>
      </w:r>
    </w:p>
    <w:p>
      <w:pPr>
        <w:pStyle w:val="FirstParagraph"/>
      </w:pPr>
      <w:r>
        <w:t xml:space="preserve">The central question is not whether Hilton can deliver a modest Q2 beat. Consensus already sits near—or slightly above—the top of management’s guidance.</w:t>
      </w:r>
    </w:p>
    <w:p>
      <w:pPr>
        <w:pStyle w:val="BodyText"/>
      </w:pPr>
      <w:r>
        <w:t xml:space="preserve">The more important issue is whether Hilton’s improving U.S. demand narrative can offset the disruption in the Middle East and support</w:t>
      </w:r>
      <w:r>
        <w:t xml:space="preserve"> </w:t>
      </w:r>
      <w:r>
        <w:rPr>
          <w:b/>
          <w:bCs/>
        </w:rPr>
        <w:t xml:space="preserve">higher second-half estimates</w:t>
      </w:r>
      <w:r>
        <w:t xml:space="preserve">. Given HLT’s premium valuation, an in-line quarter paired with unchanged guidance may not be enough to produce a favorable stock reaction.</w:t>
      </w:r>
    </w:p>
    <w:p>
      <w:pPr>
        <w:pStyle w:val="BodyText"/>
      </w:pPr>
      <w:r>
        <w:t xml:space="preserve">The setup can be summarized as follows:</w:t>
      </w:r>
    </w:p>
    <w:p>
      <w:pPr>
        <w:pStyle w:val="Compact"/>
        <w:numPr>
          <w:ilvl w:val="0"/>
          <w:numId w:val="1001"/>
        </w:numPr>
      </w:pPr>
      <w:r>
        <w:rPr>
          <w:b/>
          <w:bCs/>
        </w:rPr>
        <w:t xml:space="preserve">Positive:</w:t>
      </w:r>
      <w:r>
        <w:t xml:space="preserve"> </w:t>
      </w:r>
      <w:r>
        <w:t xml:space="preserve">Broad Q1 demand improvement, favorable Q2 comparisons, strong group bookings, continued room growth and a powerful asset-light earnings model.</w:t>
      </w:r>
    </w:p>
    <w:p>
      <w:pPr>
        <w:pStyle w:val="Compact"/>
        <w:numPr>
          <w:ilvl w:val="0"/>
          <w:numId w:val="1001"/>
        </w:numPr>
      </w:pPr>
      <w:r>
        <w:rPr>
          <w:b/>
          <w:bCs/>
        </w:rPr>
        <w:t xml:space="preserve">Negative:</w:t>
      </w:r>
      <w:r>
        <w:t xml:space="preserve"> </w:t>
      </w:r>
      <w:r>
        <w:t xml:space="preserve">Middle East disruption, difficult EBITDA comparisons, higher interest expense and a valuation that leaves limited room for execution problems.</w:t>
      </w:r>
    </w:p>
    <w:p>
      <w:pPr>
        <w:pStyle w:val="Compact"/>
        <w:numPr>
          <w:ilvl w:val="0"/>
          <w:numId w:val="1001"/>
        </w:numPr>
      </w:pPr>
      <w:r>
        <w:rPr>
          <w:b/>
          <w:bCs/>
        </w:rPr>
        <w:t xml:space="preserve">Likely swing factor:</w:t>
      </w:r>
      <w:r>
        <w:t xml:space="preserve"> </w:t>
      </w:r>
      <w:r>
        <w:t xml:space="preserve">Management’s commentary on June/July U.S. business-transient and group demand.</w:t>
      </w:r>
    </w:p>
    <w:bookmarkEnd w:id="10"/>
    <w:bookmarkStart w:id="11" w:name="expectations-versus-guidance"/>
    <w:p>
      <w:pPr>
        <w:pStyle w:val="Heading2"/>
      </w:pPr>
      <w:r>
        <w:t xml:space="preserve">Expectations versus guidance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Hilton guidance</w:t>
            </w:r>
          </w:p>
        </w:tc>
        <w:tc>
          <w:tcPr/>
          <w:p>
            <w:pPr>
              <w:pStyle w:val="Compact"/>
              <w:jc w:val="right"/>
            </w:pPr>
            <w:r>
              <w:t xml:space="preserve">Q2 2025 actual</w:t>
            </w:r>
          </w:p>
        </w:tc>
      </w:tr>
      <w:tr>
        <w:tc>
          <w:tcPr/>
          <w:p>
            <w:pPr>
              <w:pStyle w:val="Compact"/>
            </w:pPr>
            <w:r>
              <w:t xml:space="preserve">Revenue</w:t>
            </w:r>
          </w:p>
        </w:tc>
        <w:tc>
          <w:tcPr/>
          <w:p>
            <w:pPr>
              <w:pStyle w:val="Compact"/>
              <w:jc w:val="right"/>
            </w:pPr>
            <w:r>
              <w:rPr>
                <w:b/>
                <w:bCs/>
              </w:rPr>
              <w:t xml:space="preserve">$3.32B</w:t>
            </w:r>
          </w:p>
        </w:tc>
        <w:tc>
          <w:tcPr/>
          <w:p>
            <w:pPr>
              <w:pStyle w:val="Compact"/>
              <w:jc w:val="right"/>
            </w:pPr>
            <w:r>
              <w:t xml:space="preserve">Not emphasized</w:t>
            </w:r>
          </w:p>
        </w:tc>
        <w:tc>
          <w:tcPr/>
          <w:p>
            <w:pPr>
              <w:pStyle w:val="Compact"/>
              <w:jc w:val="right"/>
            </w:pPr>
            <w:r>
              <w:t xml:space="preserve">$3.14B</w:t>
            </w:r>
          </w:p>
        </w:tc>
      </w:tr>
      <w:tr>
        <w:tc>
          <w:tcPr/>
          <w:p>
            <w:pPr>
              <w:pStyle w:val="Compact"/>
            </w:pPr>
            <w:r>
              <w:t xml:space="preserve">Currency-neutral systemwide RevPAR growth</w:t>
            </w:r>
          </w:p>
        </w:tc>
        <w:tc>
          <w:tcPr/>
          <w:p>
            <w:pPr>
              <w:pStyle w:val="Compact"/>
              <w:jc w:val="right"/>
            </w:pPr>
            <w:r>
              <w:rPr>
                <w:b/>
                <w:bCs/>
              </w:rPr>
              <w:t xml:space="preserve">~2.5%</w:t>
            </w:r>
          </w:p>
        </w:tc>
        <w:tc>
          <w:tcPr/>
          <w:p>
            <w:pPr>
              <w:pStyle w:val="Compact"/>
              <w:jc w:val="right"/>
            </w:pPr>
            <w:r>
              <w:rPr>
                <w:b/>
                <w:bCs/>
              </w:rPr>
              <w:t xml:space="preserve">2%–3%</w:t>
            </w:r>
          </w:p>
        </w:tc>
        <w:tc>
          <w:tcPr/>
          <w:p>
            <w:pPr>
              <w:pStyle w:val="Compact"/>
              <w:jc w:val="right"/>
            </w:pPr>
            <w:r>
              <w:rPr>
                <w:b/>
                <w:bCs/>
              </w:rPr>
              <w:t xml:space="preserve">-0.5%</w:t>
            </w:r>
          </w:p>
        </w:tc>
      </w:tr>
      <w:tr>
        <w:tc>
          <w:tcPr/>
          <w:p>
            <w:pPr>
              <w:pStyle w:val="Compact"/>
            </w:pPr>
            <w:r>
              <w:t xml:space="preserve">Adjusted EBITDA</w:t>
            </w:r>
          </w:p>
        </w:tc>
        <w:tc>
          <w:tcPr/>
          <w:p>
            <w:pPr>
              <w:pStyle w:val="Compact"/>
              <w:jc w:val="right"/>
            </w:pPr>
            <w:r>
              <w:rPr>
                <w:b/>
                <w:bCs/>
              </w:rPr>
              <w:t xml:space="preserve">~$1.03B</w:t>
            </w:r>
          </w:p>
        </w:tc>
        <w:tc>
          <w:tcPr/>
          <w:p>
            <w:pPr>
              <w:pStyle w:val="Compact"/>
              <w:jc w:val="right"/>
            </w:pPr>
            <m:oMath>
              <m:r>
                <m:t>1.015</m:t>
              </m:r>
              <m:r>
                <m:t>B</m:t>
              </m:r>
              <m:r>
                <m:rPr>
                  <m:sty m:val="p"/>
                </m:rPr>
                <m:t>–</m:t>
              </m:r>
            </m:oMath>
            <w:r>
              <w:rPr>
                <w:b/>
                <w:bCs/>
              </w:rPr>
              <w:t xml:space="preserve">1.035B</w:t>
            </w:r>
          </w:p>
        </w:tc>
        <w:tc>
          <w:tcPr/>
          <w:p>
            <w:pPr>
              <w:pStyle w:val="Compact"/>
              <w:jc w:val="right"/>
            </w:pPr>
            <w:r>
              <w:t xml:space="preserve">$1.008B</w:t>
            </w:r>
          </w:p>
        </w:tc>
      </w:tr>
      <w:tr>
        <w:tc>
          <w:tcPr/>
          <w:p>
            <w:pPr>
              <w:pStyle w:val="Compact"/>
            </w:pPr>
            <w:r>
              <w:t xml:space="preserve">Adjusted EPS</w:t>
            </w:r>
          </w:p>
        </w:tc>
        <w:tc>
          <w:tcPr/>
          <w:p>
            <w:pPr>
              <w:pStyle w:val="Compact"/>
              <w:jc w:val="right"/>
            </w:pPr>
            <w:r>
              <w:rPr>
                <w:b/>
                <w:bCs/>
              </w:rPr>
              <w:t xml:space="preserve">$2.25</w:t>
            </w:r>
          </w:p>
        </w:tc>
        <w:tc>
          <w:tcPr/>
          <w:p>
            <w:pPr>
              <w:pStyle w:val="Compact"/>
              <w:jc w:val="right"/>
            </w:pPr>
            <m:oMath>
              <m:r>
                <m:t>2.18</m:t>
              </m:r>
              <m:r>
                <m:rPr>
                  <m:sty m:val="p"/>
                </m:rPr>
                <m:t>–</m:t>
              </m:r>
            </m:oMath>
            <w:r>
              <w:rPr>
                <w:b/>
                <w:bCs/>
              </w:rPr>
              <w:t xml:space="preserve">2.24</w:t>
            </w:r>
          </w:p>
        </w:tc>
        <w:tc>
          <w:tcPr/>
          <w:p>
            <w:pPr>
              <w:pStyle w:val="Compact"/>
              <w:jc w:val="right"/>
            </w:pPr>
            <w:r>
              <w:t xml:space="preserve">$2.20</w:t>
            </w:r>
          </w:p>
        </w:tc>
      </w:tr>
    </w:tbl>
    <w:p>
      <w:pPr>
        <w:pStyle w:val="BodyText"/>
      </w:pPr>
      <w:r>
        <w:t xml:space="preserve">Consensus implies:</w:t>
      </w:r>
    </w:p>
    <w:p>
      <w:pPr>
        <w:pStyle w:val="Compact"/>
        <w:numPr>
          <w:ilvl w:val="0"/>
          <w:numId w:val="1002"/>
        </w:numPr>
      </w:pPr>
      <w:r>
        <w:t xml:space="preserve">RevPAR at the midpoint of guidance.</w:t>
      </w:r>
    </w:p>
    <w:p>
      <w:pPr>
        <w:pStyle w:val="Compact"/>
        <w:numPr>
          <w:ilvl w:val="0"/>
          <w:numId w:val="1002"/>
        </w:numPr>
      </w:pPr>
      <w:r>
        <w:t xml:space="preserve">EBITDA near the top end.</w:t>
      </w:r>
    </w:p>
    <w:p>
      <w:pPr>
        <w:pStyle w:val="Compact"/>
        <w:numPr>
          <w:ilvl w:val="0"/>
          <w:numId w:val="1002"/>
        </w:numPr>
      </w:pPr>
      <w:r>
        <w:t xml:space="preserve">Adjusted EPS just above the high end, helped by Hilton’s ongoing share repurchases.</w:t>
      </w:r>
    </w:p>
    <w:p>
      <w:pPr>
        <w:pStyle w:val="Compact"/>
        <w:numPr>
          <w:ilvl w:val="0"/>
          <w:numId w:val="1002"/>
        </w:numPr>
      </w:pPr>
      <w:r>
        <w:t xml:space="preserve">Only modest EBITDA growth despite a substantially better RevPAR comparison, reflecting Middle East weakness and unfavorable one-time/timing comparisons against Q2 2025.</w:t>
      </w:r>
    </w:p>
    <w:p>
      <w:pPr>
        <w:pStyle w:val="FirstParagraph"/>
      </w:pPr>
      <w:r>
        <w:t xml:space="preserve">Reported revenue is less informative for Hilton than RevPAR, fee revenue and EBITDA because a large portion consists of cost reimbursements that carry little long-term economics.</w:t>
      </w:r>
    </w:p>
    <w:bookmarkEnd w:id="11"/>
    <w:bookmarkStart w:id="13" w:name="X2c9fb1f362a6544c75e5d55bdd3d7180a6b4842"/>
    <w:p>
      <w:pPr>
        <w:pStyle w:val="Heading2"/>
      </w:pPr>
      <w:r>
        <w:t xml:space="preserve">The key issue: underlying demand is probably better than headline RevPAR</w:t>
      </w:r>
    </w:p>
    <w:p>
      <w:pPr>
        <w:pStyle w:val="FirstParagraph"/>
      </w:pPr>
      <w:r>
        <w:t xml:space="preserve">Hilton entered Q2 with considerable momentum. Q1 systemwide RevPAR increased</w:t>
      </w:r>
      <w:r>
        <w:t xml:space="preserve"> </w:t>
      </w:r>
      <w:r>
        <w:rPr>
          <w:b/>
          <w:bCs/>
        </w:rPr>
        <w:t xml:space="preserve">3.6%</w:t>
      </w:r>
      <w:r>
        <w:t xml:space="preserve">, including:</w:t>
      </w:r>
    </w:p>
    <w:p>
      <w:pPr>
        <w:pStyle w:val="Compact"/>
        <w:numPr>
          <w:ilvl w:val="0"/>
          <w:numId w:val="1003"/>
        </w:numPr>
      </w:pPr>
      <w:r>
        <w:t xml:space="preserve">U.S.:</w:t>
      </w:r>
      <w:r>
        <w:t xml:space="preserve"> </w:t>
      </w:r>
      <w:r>
        <w:rPr>
          <w:b/>
          <w:bCs/>
        </w:rPr>
        <w:t xml:space="preserve">+3.4%</w:t>
      </w:r>
    </w:p>
    <w:p>
      <w:pPr>
        <w:pStyle w:val="Compact"/>
        <w:numPr>
          <w:ilvl w:val="0"/>
          <w:numId w:val="1003"/>
        </w:numPr>
      </w:pPr>
      <w:r>
        <w:t xml:space="preserve">Europe:</w:t>
      </w:r>
      <w:r>
        <w:t xml:space="preserve"> </w:t>
      </w:r>
      <w:r>
        <w:rPr>
          <w:b/>
          <w:bCs/>
        </w:rPr>
        <w:t xml:space="preserve">+6.9%</w:t>
      </w:r>
    </w:p>
    <w:p>
      <w:pPr>
        <w:pStyle w:val="Compact"/>
        <w:numPr>
          <w:ilvl w:val="0"/>
          <w:numId w:val="1003"/>
        </w:numPr>
      </w:pPr>
      <w:r>
        <w:t xml:space="preserve">Americas outside the U.S.:</w:t>
      </w:r>
      <w:r>
        <w:t xml:space="preserve"> </w:t>
      </w:r>
      <w:r>
        <w:rPr>
          <w:b/>
          <w:bCs/>
        </w:rPr>
        <w:t xml:space="preserve">+4.4%</w:t>
      </w:r>
    </w:p>
    <w:p>
      <w:pPr>
        <w:pStyle w:val="Compact"/>
        <w:numPr>
          <w:ilvl w:val="0"/>
          <w:numId w:val="1003"/>
        </w:numPr>
      </w:pPr>
      <w:r>
        <w:t xml:space="preserve">Asia-Pacific:</w:t>
      </w:r>
      <w:r>
        <w:t xml:space="preserve"> </w:t>
      </w:r>
      <w:r>
        <w:rPr>
          <w:b/>
          <w:bCs/>
        </w:rPr>
        <w:t xml:space="preserve">+4.7%</w:t>
      </w:r>
    </w:p>
    <w:p>
      <w:pPr>
        <w:pStyle w:val="Compact"/>
        <w:numPr>
          <w:ilvl w:val="0"/>
          <w:numId w:val="1003"/>
        </w:numPr>
      </w:pPr>
      <w:r>
        <w:t xml:space="preserve">Middle East and Africa:</w:t>
      </w:r>
      <w:r>
        <w:t xml:space="preserve"> </w:t>
      </w:r>
      <w:r>
        <w:rPr>
          <w:b/>
          <w:bCs/>
        </w:rPr>
        <w:t xml:space="preserve">-1.7%</w:t>
      </w:r>
    </w:p>
    <w:p>
      <w:pPr>
        <w:pStyle w:val="FirstParagraph"/>
      </w:pPr>
      <w:r>
        <w:t xml:space="preserve">By customer segment, Q1 business-transient RevPAR rose</w:t>
      </w:r>
      <w:r>
        <w:t xml:space="preserve"> </w:t>
      </w:r>
      <w:r>
        <w:rPr>
          <w:b/>
          <w:bCs/>
        </w:rPr>
        <w:t xml:space="preserve">2.7%</w:t>
      </w:r>
      <w:r>
        <w:t xml:space="preserve">, leisure increased</w:t>
      </w:r>
      <w:r>
        <w:t xml:space="preserve"> </w:t>
      </w:r>
      <w:r>
        <w:rPr>
          <w:b/>
          <w:bCs/>
        </w:rPr>
        <w:t xml:space="preserve">3.5%</w:t>
      </w:r>
      <w:r>
        <w:t xml:space="preserve">, and group rose</w:t>
      </w:r>
      <w:r>
        <w:t xml:space="preserve"> </w:t>
      </w:r>
      <w:r>
        <w:rPr>
          <w:b/>
          <w:bCs/>
        </w:rPr>
        <w:t xml:space="preserve">4.3%</w:t>
      </w:r>
      <w:r>
        <w:t xml:space="preserve">. Management said U.S. demand improved sequentially through the quarter and remained encouraging into April. (</w:t>
      </w:r>
      <w:hyperlink r:id="rId12">
        <w:r>
          <w:rPr>
            <w:rStyle w:val="Hyperlink"/>
          </w:rPr>
          <w:t xml:space="preserve">ir.hilton.com</w:t>
        </w:r>
      </w:hyperlink>
      <w:r>
        <w:t xml:space="preserve">)</w:t>
      </w:r>
    </w:p>
    <w:p>
      <w:pPr>
        <w:pStyle w:val="BodyText"/>
      </w:pPr>
      <w:r>
        <w:t xml:space="preserve">Management estimated on the Q1 call that Middle East RevPAR could decline by roughly</w:t>
      </w:r>
      <w:r>
        <w:t xml:space="preserve"> </w:t>
      </w:r>
      <w:r>
        <w:rPr>
          <w:b/>
          <w:bCs/>
        </w:rPr>
        <w:t xml:space="preserve">50% in Q2</w:t>
      </w:r>
      <w:r>
        <w:t xml:space="preserve">, subtracting approximately</w:t>
      </w:r>
      <w:r>
        <w:t xml:space="preserve"> </w:t>
      </w:r>
      <w:r>
        <w:rPr>
          <w:b/>
          <w:bCs/>
        </w:rPr>
        <w:t xml:space="preserve">1.5 percentage points</w:t>
      </w:r>
      <w:r>
        <w:t xml:space="preserve"> </w:t>
      </w:r>
      <w:r>
        <w:t xml:space="preserve">from systemwide growth. If that estimate proves broadly correct, a reported systemwide result of 2%–3% would imply underlying growth closer to</w:t>
      </w:r>
      <w:r>
        <w:t xml:space="preserve"> </w:t>
      </w:r>
      <w:r>
        <w:rPr>
          <w:b/>
          <w:bCs/>
        </w:rPr>
        <w:t xml:space="preserve">3.5%–4.5% outside the region</w:t>
      </w:r>
      <w:r>
        <w:t xml:space="preserve">.</w:t>
      </w:r>
    </w:p>
    <w:p>
      <w:pPr>
        <w:pStyle w:val="BodyText"/>
      </w:pPr>
      <w:r>
        <w:t xml:space="preserve">That makes the regional and segment disclosures more important than the headline figure. A 2.5% result driven by healthy U.S. business and group travel would be constructive; the same result driven by temporary events or unusually strong leisure pricing would be less so.</w:t>
      </w:r>
    </w:p>
    <w:bookmarkEnd w:id="13"/>
    <w:bookmarkStart w:id="19" w:name="what-investors-should-watch"/>
    <w:p>
      <w:pPr>
        <w:pStyle w:val="Heading2"/>
      </w:pPr>
      <w:r>
        <w:t xml:space="preserve">What investors should watch</w:t>
      </w:r>
    </w:p>
    <w:bookmarkStart w:id="14" w:name="X4335e193fe2fbe5d32736e847ed31a72d80941f"/>
    <w:p>
      <w:pPr>
        <w:pStyle w:val="Heading3"/>
      </w:pPr>
      <w:r>
        <w:t xml:space="preserve">1. U.S. business-transient demand</w:t>
      </w:r>
    </w:p>
    <w:p>
      <w:pPr>
        <w:pStyle w:val="FirstParagraph"/>
      </w:pPr>
      <w:r>
        <w:t xml:space="preserve">Hilton has argued that economic growth is broadening beyond luxury consumers and beginning to benefit midscale and lower-chain-scale hotels. Evidence supporting that thesis would include:</w:t>
      </w:r>
    </w:p>
    <w:p>
      <w:pPr>
        <w:pStyle w:val="Compact"/>
        <w:numPr>
          <w:ilvl w:val="0"/>
          <w:numId w:val="1004"/>
        </w:numPr>
      </w:pPr>
      <w:r>
        <w:t xml:space="preserve">Continued midweek occupancy improvement.</w:t>
      </w:r>
    </w:p>
    <w:p>
      <w:pPr>
        <w:pStyle w:val="Compact"/>
        <w:numPr>
          <w:ilvl w:val="0"/>
          <w:numId w:val="1004"/>
        </w:numPr>
      </w:pPr>
      <w:r>
        <w:t xml:space="preserve">Stronger corporate negotiated demand.</w:t>
      </w:r>
    </w:p>
    <w:p>
      <w:pPr>
        <w:pStyle w:val="Compact"/>
        <w:numPr>
          <w:ilvl w:val="0"/>
          <w:numId w:val="1004"/>
        </w:numPr>
      </w:pPr>
      <w:r>
        <w:t xml:space="preserve">Better results at Hampton, Hilton Garden Inn, Tru and Home2.</w:t>
      </w:r>
    </w:p>
    <w:p>
      <w:pPr>
        <w:pStyle w:val="Compact"/>
        <w:numPr>
          <w:ilvl w:val="0"/>
          <w:numId w:val="1004"/>
        </w:numPr>
      </w:pPr>
      <w:r>
        <w:t xml:space="preserve">Business-transient growth accelerating from Q1’s 2.7%.</w:t>
      </w:r>
    </w:p>
    <w:p>
      <w:pPr>
        <w:pStyle w:val="Compact"/>
        <w:numPr>
          <w:ilvl w:val="0"/>
          <w:numId w:val="1004"/>
        </w:numPr>
      </w:pPr>
      <w:r>
        <w:t xml:space="preserve">Positive trends continuing into July rather than fading after April.</w:t>
      </w:r>
    </w:p>
    <w:p>
      <w:pPr>
        <w:pStyle w:val="FirstParagraph"/>
      </w:pPr>
      <w:r>
        <w:t xml:space="preserve">This is particularly important because roughly three-quarters of Hilton’s business is driven by the U.S., according to management.</w:t>
      </w:r>
    </w:p>
    <w:bookmarkEnd w:id="14"/>
    <w:bookmarkStart w:id="15" w:name="X7130e2b56ae1091675eebce47b5ea42dda40592"/>
    <w:p>
      <w:pPr>
        <w:pStyle w:val="Heading3"/>
      </w:pPr>
      <w:r>
        <w:t xml:space="preserve">2. Group bookings and forward visibility</w:t>
      </w:r>
    </w:p>
    <w:p>
      <w:pPr>
        <w:pStyle w:val="FirstParagraph"/>
      </w:pPr>
      <w:r>
        <w:t xml:space="preserve">Group was Hilton’s strongest customer segment in Q1, supported by company meetings, conventions and rising corporate lead volumes. Management said both bookings and lead activity supported the expectation that group would lead demand growth in 2026.</w:t>
      </w:r>
    </w:p>
    <w:p>
      <w:pPr>
        <w:pStyle w:val="BodyText"/>
      </w:pPr>
      <w:r>
        <w:t xml:space="preserve">Investors should focus on:</w:t>
      </w:r>
    </w:p>
    <w:p>
      <w:pPr>
        <w:pStyle w:val="Compact"/>
        <w:numPr>
          <w:ilvl w:val="0"/>
          <w:numId w:val="1005"/>
        </w:numPr>
      </w:pPr>
      <w:r>
        <w:t xml:space="preserve">Group pace for the second half of 2026.</w:t>
      </w:r>
    </w:p>
    <w:p>
      <w:pPr>
        <w:pStyle w:val="Compact"/>
        <w:numPr>
          <w:ilvl w:val="0"/>
          <w:numId w:val="1005"/>
        </w:numPr>
      </w:pPr>
      <w:r>
        <w:t xml:space="preserve">Corporate meeting demand versus large conventions.</w:t>
      </w:r>
    </w:p>
    <w:p>
      <w:pPr>
        <w:pStyle w:val="Compact"/>
        <w:numPr>
          <w:ilvl w:val="0"/>
          <w:numId w:val="1005"/>
        </w:numPr>
      </w:pPr>
      <w:r>
        <w:t xml:space="preserve">Cancellation and attrition rates.</w:t>
      </w:r>
    </w:p>
    <w:p>
      <w:pPr>
        <w:pStyle w:val="Compact"/>
        <w:numPr>
          <w:ilvl w:val="0"/>
          <w:numId w:val="1005"/>
        </w:numPr>
      </w:pPr>
      <w:r>
        <w:t xml:space="preserve">Early booking trends for 2027.</w:t>
      </w:r>
    </w:p>
    <w:p>
      <w:pPr>
        <w:pStyle w:val="Compact"/>
        <w:numPr>
          <w:ilvl w:val="0"/>
          <w:numId w:val="1005"/>
        </w:numPr>
      </w:pPr>
      <w:r>
        <w:t xml:space="preserve">Whether companies are booking further in advance.</w:t>
      </w:r>
    </w:p>
    <w:p>
      <w:pPr>
        <w:pStyle w:val="FirstParagraph"/>
      </w:pPr>
      <w:r>
        <w:t xml:space="preserve">Healthy forward group pace would increase confidence in Hilton’s 2027 earnings visibility even if Q2 itself is merely in line.</w:t>
      </w:r>
    </w:p>
    <w:bookmarkEnd w:id="15"/>
    <w:bookmarkStart w:id="16" w:name="X93e1e9d859c58adb4aa4dd3a0d77c0415658b40"/>
    <w:p>
      <w:pPr>
        <w:pStyle w:val="Heading3"/>
      </w:pPr>
      <w:r>
        <w:t xml:space="preserve">3. Middle East recovery assumptions</w:t>
      </w:r>
    </w:p>
    <w:p>
      <w:pPr>
        <w:pStyle w:val="FirstParagraph"/>
      </w:pPr>
      <w:r>
        <w:t xml:space="preserve">Hilton previously estimated that the Middle East represented approximately</w:t>
      </w:r>
      <w:r>
        <w:t xml:space="preserve"> </w:t>
      </w:r>
      <w:r>
        <w:rPr>
          <w:b/>
          <w:bCs/>
        </w:rPr>
        <w:t xml:space="preserve">3% of its business</w:t>
      </w:r>
      <w:r>
        <w:t xml:space="preserve">, but the magnitude of the regional downturn made the Q2 impact material. Management assumed a range of recovery scenarios when setting full-year guidance.</w:t>
      </w:r>
    </w:p>
    <w:p>
      <w:pPr>
        <w:pStyle w:val="BodyText"/>
      </w:pPr>
      <w:r>
        <w:t xml:space="preserve">Questions for the call include:</w:t>
      </w:r>
    </w:p>
    <w:p>
      <w:pPr>
        <w:pStyle w:val="Compact"/>
        <w:numPr>
          <w:ilvl w:val="0"/>
          <w:numId w:val="1006"/>
        </w:numPr>
      </w:pPr>
      <w:r>
        <w:t xml:space="preserve">Did regional RevPAR decline roughly 50%, as anticipated?</w:t>
      </w:r>
    </w:p>
    <w:p>
      <w:pPr>
        <w:pStyle w:val="Compact"/>
        <w:numPr>
          <w:ilvl w:val="0"/>
          <w:numId w:val="1006"/>
        </w:numPr>
      </w:pPr>
      <w:r>
        <w:t xml:space="preserve">Are the UAE, Qatar and Kuwait stabilizing?</w:t>
      </w:r>
    </w:p>
    <w:p>
      <w:pPr>
        <w:pStyle w:val="Compact"/>
        <w:numPr>
          <w:ilvl w:val="0"/>
          <w:numId w:val="1006"/>
        </w:numPr>
      </w:pPr>
      <w:r>
        <w:t xml:space="preserve">Has disruption spread to nearby destinations such as India, the Maldives or Seychelles?</w:t>
      </w:r>
    </w:p>
    <w:p>
      <w:pPr>
        <w:pStyle w:val="Compact"/>
        <w:numPr>
          <w:ilvl w:val="0"/>
          <w:numId w:val="1006"/>
        </w:numPr>
      </w:pPr>
      <w:r>
        <w:t xml:space="preserve">Have flight disruptions or higher fuel prices affected international leisure travel more broadly?</w:t>
      </w:r>
    </w:p>
    <w:p>
      <w:pPr>
        <w:pStyle w:val="Compact"/>
        <w:numPr>
          <w:ilvl w:val="0"/>
          <w:numId w:val="1006"/>
        </w:numPr>
      </w:pPr>
      <w:r>
        <w:t xml:space="preserve">Is Hilton still assuming Middle East RevPAR declines in the mid-to-high teens for 2026?</w:t>
      </w:r>
    </w:p>
    <w:p>
      <w:pPr>
        <w:pStyle w:val="FirstParagraph"/>
      </w:pPr>
      <w:r>
        <w:t xml:space="preserve">A faster recovery could support a guidance increase. A wider spillover into international travel would threaten the second-half outlook.</w:t>
      </w:r>
    </w:p>
    <w:bookmarkEnd w:id="16"/>
    <w:bookmarkStart w:id="17" w:name="X4ead0e9f01be7af171ef319f50a5e501cdbf099"/>
    <w:p>
      <w:pPr>
        <w:pStyle w:val="Heading3"/>
      </w:pPr>
      <w:r>
        <w:t xml:space="preserve">4. Full-year guidance</w:t>
      </w:r>
    </w:p>
    <w:p>
      <w:pPr>
        <w:pStyle w:val="FirstParagraph"/>
      </w:pPr>
      <w:r>
        <w:t xml:space="preserve">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FY2026 guidance</w:t>
            </w:r>
          </w:p>
        </w:tc>
      </w:tr>
      <w:tr>
        <w:tc>
          <w:tcPr/>
          <w:p>
            <w:pPr>
              <w:pStyle w:val="Compact"/>
            </w:pPr>
            <w:r>
              <w:t xml:space="preserve">Currency-neutral systemwide RevPAR growth</w:t>
            </w:r>
          </w:p>
        </w:tc>
        <w:tc>
          <w:tcPr/>
          <w:p>
            <w:pPr>
              <w:pStyle w:val="Compact"/>
              <w:jc w:val="right"/>
            </w:pPr>
            <w:r>
              <w:rPr>
                <w:b/>
                <w:bCs/>
              </w:rPr>
              <w:t xml:space="preserve">2%–3%</w:t>
            </w:r>
          </w:p>
        </w:tc>
      </w:tr>
      <w:tr>
        <w:tc>
          <w:tcPr/>
          <w:p>
            <w:pPr>
              <w:pStyle w:val="Compact"/>
            </w:pPr>
            <w:r>
              <w:t xml:space="preserve">Adjusted EBITDA</w:t>
            </w:r>
          </w:p>
        </w:tc>
        <w:tc>
          <w:tcPr/>
          <w:p>
            <w:pPr>
              <w:pStyle w:val="Compact"/>
              <w:jc w:val="right"/>
            </w:pPr>
            <m:oMath>
              <m:r>
                <m:t>4.02</m:t>
              </m:r>
              <m:r>
                <m:t>B</m:t>
              </m:r>
              <m:r>
                <m:rPr>
                  <m:sty m:val="p"/>
                </m:rPr>
                <m:t>–</m:t>
              </m:r>
            </m:oMath>
            <w:r>
              <w:rPr>
                <w:b/>
                <w:bCs/>
              </w:rPr>
              <w:t xml:space="preserve">4.06B</w:t>
            </w:r>
          </w:p>
        </w:tc>
      </w:tr>
      <w:tr>
        <w:tc>
          <w:tcPr/>
          <w:p>
            <w:pPr>
              <w:pStyle w:val="Compact"/>
            </w:pPr>
            <w:r>
              <w:t xml:space="preserve">Adjusted EPS</w:t>
            </w:r>
          </w:p>
        </w:tc>
        <w:tc>
          <w:tcPr/>
          <w:p>
            <w:pPr>
              <w:pStyle w:val="Compact"/>
              <w:jc w:val="right"/>
            </w:pPr>
            <m:oMath>
              <m:r>
                <m:t>8.79</m:t>
              </m:r>
              <m:r>
                <m:rPr>
                  <m:sty m:val="p"/>
                </m:rPr>
                <m:t>–</m:t>
              </m:r>
            </m:oMath>
            <w:r>
              <w:rPr>
                <w:b/>
                <w:bCs/>
              </w:rPr>
              <w:t xml:space="preserve">8.91</w:t>
            </w:r>
          </w:p>
        </w:tc>
      </w:tr>
      <w:tr>
        <w:tc>
          <w:tcPr/>
          <w:p>
            <w:pPr>
              <w:pStyle w:val="Compact"/>
            </w:pPr>
            <w:r>
              <w:t xml:space="preserve">Net unit growth</w:t>
            </w:r>
          </w:p>
        </w:tc>
        <w:tc>
          <w:tcPr/>
          <w:p>
            <w:pPr>
              <w:pStyle w:val="Compact"/>
              <w:jc w:val="right"/>
            </w:pPr>
            <w:r>
              <w:rPr>
                <w:b/>
                <w:bCs/>
              </w:rPr>
              <w:t xml:space="preserve">6%–7%</w:t>
            </w:r>
          </w:p>
        </w:tc>
      </w:tr>
      <w:tr>
        <w:tc>
          <w:tcPr/>
          <w:p>
            <w:pPr>
              <w:pStyle w:val="Compact"/>
            </w:pPr>
            <w:r>
              <w:t xml:space="preserve">Capital return</w:t>
            </w:r>
          </w:p>
        </w:tc>
        <w:tc>
          <w:tcPr/>
          <w:p>
            <w:pPr>
              <w:pStyle w:val="Compact"/>
              <w:jc w:val="right"/>
            </w:pPr>
            <w:r>
              <w:rPr>
                <w:b/>
                <w:bCs/>
              </w:rPr>
              <w:t xml:space="preserve">~$3.5B</w:t>
            </w:r>
          </w:p>
        </w:tc>
      </w:tr>
    </w:tbl>
    <w:p>
      <w:pPr>
        <w:pStyle w:val="BodyText"/>
      </w:pPr>
      <w:r>
        <w:t xml:space="preserve">Hilton raised its outlook after Q1, so another formal increase may require a meaningful Q2 beat or greater confidence in the Middle East recovery. Management has also said approximately one point of additional RevPAR growth normally produces</w:t>
      </w:r>
      <w:r>
        <w:t xml:space="preserve"> </w:t>
      </w:r>
      <m:oMath>
        <m:r>
          <m:t>25</m:t>
        </m:r>
        <m:r>
          <m:t>m</m:t>
        </m:r>
        <m:r>
          <m:t>i</m:t>
        </m:r>
        <m:r>
          <m:t>l</m:t>
        </m:r>
        <m:r>
          <m:t>l</m:t>
        </m:r>
        <m:r>
          <m:t>i</m:t>
        </m:r>
        <m:r>
          <m:t>o</m:t>
        </m:r>
        <m:r>
          <m:t>n</m:t>
        </m:r>
        <m:r>
          <m:rPr>
            <m:sty m:val="p"/>
          </m:rPr>
          <m:t>–</m:t>
        </m:r>
      </m:oMath>
      <w:r>
        <w:rPr>
          <w:b/>
          <w:bCs/>
        </w:rPr>
        <w:t xml:space="preserve">30 million</w:t>
      </w:r>
      <w:r>
        <w:t xml:space="preserve"> </w:t>
      </w:r>
      <w:r>
        <w:t xml:space="preserve">of incremental EBITDA.</w:t>
      </w:r>
    </w:p>
    <w:p>
      <w:pPr>
        <w:pStyle w:val="BodyText"/>
      </w:pPr>
      <w:r>
        <w:t xml:space="preserve">The best outcome would be a higher RevPAR forecast accompanied by a roughly proportional EBITDA increase. A RevPAR raise without comparable EBITDA flow-through could raise questions about fee mix, owner-program spending, regional mix or cost inflation.</w:t>
      </w:r>
    </w:p>
    <w:bookmarkEnd w:id="17"/>
    <w:bookmarkStart w:id="18" w:name="X2caff1a0fded248b21032e671d1f507fe395969"/>
    <w:p>
      <w:pPr>
        <w:pStyle w:val="Heading3"/>
      </w:pPr>
      <w:r>
        <w:t xml:space="preserve">5. Net unit growth and pipeline quality</w:t>
      </w:r>
    </w:p>
    <w:p>
      <w:pPr>
        <w:pStyle w:val="FirstParagraph"/>
      </w:pPr>
      <w:r>
        <w:t xml:space="preserve">Hilton ended Q1 with:</w:t>
      </w:r>
    </w:p>
    <w:p>
      <w:pPr>
        <w:pStyle w:val="Compact"/>
        <w:numPr>
          <w:ilvl w:val="0"/>
          <w:numId w:val="1007"/>
        </w:numPr>
      </w:pPr>
      <w:r>
        <w:rPr>
          <w:b/>
          <w:bCs/>
        </w:rPr>
        <w:t xml:space="preserve">527,000 rooms</w:t>
      </w:r>
      <w:r>
        <w:t xml:space="preserve"> </w:t>
      </w:r>
      <w:r>
        <w:t xml:space="preserve">in its development pipeline.</w:t>
      </w:r>
    </w:p>
    <w:p>
      <w:pPr>
        <w:pStyle w:val="Compact"/>
        <w:numPr>
          <w:ilvl w:val="0"/>
          <w:numId w:val="1007"/>
        </w:numPr>
      </w:pPr>
      <w:r>
        <w:t xml:space="preserve">Nearly half of pipeline rooms under construction.</w:t>
      </w:r>
    </w:p>
    <w:p>
      <w:pPr>
        <w:pStyle w:val="Compact"/>
        <w:numPr>
          <w:ilvl w:val="0"/>
          <w:numId w:val="1007"/>
        </w:numPr>
      </w:pPr>
      <w:r>
        <w:t xml:space="preserve">More than half of the pipeline outside the U.S.</w:t>
      </w:r>
    </w:p>
    <w:p>
      <w:pPr>
        <w:pStyle w:val="Compact"/>
        <w:numPr>
          <w:ilvl w:val="0"/>
          <w:numId w:val="1007"/>
        </w:numPr>
      </w:pPr>
      <w:r>
        <w:rPr>
          <w:b/>
          <w:bCs/>
        </w:rPr>
        <w:t xml:space="preserve">6.3%</w:t>
      </w:r>
      <w:r>
        <w:t xml:space="preserve"> </w:t>
      </w:r>
      <w:r>
        <w:t xml:space="preserve">trailing net unit growth.</w:t>
      </w:r>
    </w:p>
    <w:p>
      <w:pPr>
        <w:pStyle w:val="Compact"/>
        <w:numPr>
          <w:ilvl w:val="0"/>
          <w:numId w:val="1007"/>
        </w:numPr>
      </w:pPr>
      <w:r>
        <w:t xml:space="preserve">Full-year guidance of</w:t>
      </w:r>
      <w:r>
        <w:t xml:space="preserve"> </w:t>
      </w:r>
      <w:r>
        <w:rPr>
          <w:b/>
          <w:bCs/>
        </w:rPr>
        <w:t xml:space="preserve">6%–7%</w:t>
      </w:r>
      <w:r>
        <w:t xml:space="preserve">.</w:t>
      </w:r>
    </w:p>
    <w:p>
      <w:pPr>
        <w:pStyle w:val="FirstParagraph"/>
      </w:pPr>
      <w:r>
        <w:t xml:space="preserve">Management also expected conversions to represent approximately 38%–40% of 2026 openings and construction starts to grow more than 20%.</w:t>
      </w:r>
    </w:p>
    <w:p>
      <w:pPr>
        <w:pStyle w:val="BodyText"/>
      </w:pPr>
      <w:r>
        <w:t xml:space="preserve">Investors should distinguish between:</w:t>
      </w:r>
    </w:p>
    <w:p>
      <w:pPr>
        <w:pStyle w:val="Compact"/>
        <w:numPr>
          <w:ilvl w:val="0"/>
          <w:numId w:val="1008"/>
        </w:numPr>
      </w:pPr>
      <w:r>
        <w:t xml:space="preserve">Gross openings and</w:t>
      </w:r>
      <w:r>
        <w:t xml:space="preserve"> </w:t>
      </w:r>
      <w:r>
        <w:rPr>
          <w:b/>
          <w:bCs/>
        </w:rPr>
        <w:t xml:space="preserve">net</w:t>
      </w:r>
      <w:r>
        <w:t xml:space="preserve"> </w:t>
      </w:r>
      <w:r>
        <w:t xml:space="preserve">room additions.</w:t>
      </w:r>
    </w:p>
    <w:p>
      <w:pPr>
        <w:pStyle w:val="Compact"/>
        <w:numPr>
          <w:ilvl w:val="0"/>
          <w:numId w:val="1008"/>
        </w:numPr>
      </w:pPr>
      <w:r>
        <w:t xml:space="preserve">Traditional Hilton-managed/franchised rooms and strategic-partner inventory.</w:t>
      </w:r>
    </w:p>
    <w:p>
      <w:pPr>
        <w:pStyle w:val="Compact"/>
        <w:numPr>
          <w:ilvl w:val="0"/>
          <w:numId w:val="1008"/>
        </w:numPr>
      </w:pPr>
      <w:r>
        <w:t xml:space="preserve">Conversions and newly constructed hotels.</w:t>
      </w:r>
    </w:p>
    <w:p>
      <w:pPr>
        <w:pStyle w:val="Compact"/>
        <w:numPr>
          <w:ilvl w:val="0"/>
          <w:numId w:val="1008"/>
        </w:numPr>
      </w:pPr>
      <w:r>
        <w:t xml:space="preserve">Pipeline additions and projects actually under construction.</w:t>
      </w:r>
    </w:p>
    <w:p>
      <w:pPr>
        <w:pStyle w:val="FirstParagraph"/>
      </w:pPr>
      <w:r>
        <w:t xml:space="preserve">For HLT’s long-term valuation, sustained 6%–7% net unit growth is arguably more important than a few tenths of quarterly RevPAR.</w:t>
      </w:r>
    </w:p>
    <w:bookmarkEnd w:id="18"/>
    <w:bookmarkEnd w:id="19"/>
    <w:bookmarkStart w:id="20" w:name="capital-allocation-and-valuation"/>
    <w:p>
      <w:pPr>
        <w:pStyle w:val="Heading2"/>
      </w:pPr>
      <w:r>
        <w:t xml:space="preserve">Capital allocation and valuation</w:t>
      </w:r>
    </w:p>
    <w:p>
      <w:pPr>
        <w:pStyle w:val="FirstParagraph"/>
      </w:pPr>
      <w:r>
        <w:t xml:space="preserve">HLT closed at approximately</w:t>
      </w:r>
      <w:r>
        <w:t xml:space="preserve"> </w:t>
      </w:r>
      <w:r>
        <w:rPr>
          <w:b/>
          <w:bCs/>
        </w:rPr>
        <w:t xml:space="preserve">$330.89 on July 27</w:t>
      </w:r>
      <w:r>
        <w:t xml:space="preserve">, essentially unchanged from the day before its Q1 report and roughly 5.5% below its June peak.</w:t>
      </w:r>
    </w:p>
    <w:p>
      <w:pPr>
        <w:pStyle w:val="BodyText"/>
      </w:pPr>
      <w:r>
        <w:t xml:space="preserve">At that price, the stock trades at approximately:</w:t>
      </w:r>
    </w:p>
    <w:p>
      <w:pPr>
        <w:pStyle w:val="Compact"/>
        <w:numPr>
          <w:ilvl w:val="0"/>
          <w:numId w:val="1009"/>
        </w:numPr>
      </w:pPr>
      <w:r>
        <w:rPr>
          <w:b/>
          <w:bCs/>
        </w:rPr>
        <w:t xml:space="preserve">37×</w:t>
      </w:r>
      <w:r>
        <w:t xml:space="preserve"> </w:t>
      </w:r>
      <w:r>
        <w:t xml:space="preserve">the midpoint of 2026 adjusted-EPS guidance.</w:t>
      </w:r>
    </w:p>
    <w:p>
      <w:pPr>
        <w:pStyle w:val="Compact"/>
        <w:numPr>
          <w:ilvl w:val="0"/>
          <w:numId w:val="1009"/>
        </w:numPr>
      </w:pPr>
      <w:r>
        <w:rPr>
          <w:b/>
          <w:bCs/>
        </w:rPr>
        <w:t xml:space="preserve">21.6×</w:t>
      </w:r>
      <w:r>
        <w:t xml:space="preserve"> </w:t>
      </w:r>
      <w:r>
        <w:t xml:space="preserve">estimated enterprise value to 2026 adjusted EBITDA, using Q1 shares and net debt.</w:t>
      </w:r>
    </w:p>
    <w:p>
      <w:pPr>
        <w:pStyle w:val="FirstParagraph"/>
      </w:pPr>
      <w:r>
        <w:t xml:space="preserve">That valuation reflects expectations for durable room growth, fee expansion and buyback-driven EPS compounding—not simply cyclical RevPAR growth.</w:t>
      </w:r>
    </w:p>
    <w:p>
      <w:pPr>
        <w:pStyle w:val="BodyText"/>
      </w:pPr>
      <w:r>
        <w:t xml:space="preserve">Hilton repurchased 2.7 million shares in Q1 at an average price of $301.71 and planned approximately</w:t>
      </w:r>
      <w:r>
        <w:t xml:space="preserve"> </w:t>
      </w:r>
      <m:oMath>
        <m:r>
          <m:t>3.5</m:t>
        </m:r>
        <m:r>
          <m:t>b</m:t>
        </m:r>
        <m:r>
          <m:t>i</m:t>
        </m:r>
        <m:r>
          <m:t>l</m:t>
        </m:r>
        <m:r>
          <m:t>l</m:t>
        </m:r>
        <m:r>
          <m:t>i</m:t>
        </m:r>
        <m:r>
          <m:t>o</m:t>
        </m:r>
        <m:r>
          <m:t>n</m:t>
        </m:r>
        <m:r>
          <m:t>o</m:t>
        </m:r>
        <m:r>
          <m:t>f</m:t>
        </m:r>
        <m:r>
          <m:t>t</m:t>
        </m:r>
        <m:r>
          <m:t>o</m:t>
        </m:r>
        <m:r>
          <m:t>t</m:t>
        </m:r>
        <m:r>
          <m:t>a</m:t>
        </m:r>
        <m:r>
          <m:t>l</m:t>
        </m:r>
        <m:r>
          <m:t>2026</m:t>
        </m:r>
        <m:r>
          <m:t>c</m:t>
        </m:r>
        <m:r>
          <m:t>a</m:t>
        </m:r>
        <m:r>
          <m:t>p</m:t>
        </m:r>
        <m:r>
          <m:t>i</m:t>
        </m:r>
        <m:r>
          <m:t>t</m:t>
        </m:r>
        <m:r>
          <m:t>a</m:t>
        </m:r>
        <m:r>
          <m:t>l</m:t>
        </m:r>
        <m:r>
          <m:t>r</m:t>
        </m:r>
        <m:r>
          <m:t>e</m:t>
        </m:r>
        <m:r>
          <m:t>t</m:t>
        </m:r>
        <m:r>
          <m:t>u</m:t>
        </m:r>
        <m:r>
          <m:t>r</m:t>
        </m:r>
        <m:r>
          <m:t>n</m:t>
        </m:r>
        <m:r>
          <m:t>s</m:t>
        </m:r>
        <m:r>
          <m:rPr>
            <m:sty m:val="p"/>
          </m:rPr>
          <m:t>.</m:t>
        </m:r>
        <m:r>
          <m:t>N</m:t>
        </m:r>
        <m:r>
          <m:t>e</m:t>
        </m:r>
        <m:r>
          <m:t>t</m:t>
        </m:r>
        <m:r>
          <m:t>l</m:t>
        </m:r>
        <m:r>
          <m:t>e</m:t>
        </m:r>
        <m:r>
          <m:t>v</m:t>
        </m:r>
        <m:r>
          <m:t>e</m:t>
        </m:r>
        <m:r>
          <m:t>r</m:t>
        </m:r>
        <m:r>
          <m:t>a</m:t>
        </m:r>
        <m:r>
          <m:t>g</m:t>
        </m:r>
        <m:r>
          <m:t>e</m:t>
        </m:r>
        <m:r>
          <m:t>w</m:t>
        </m:r>
        <m:r>
          <m:t>a</m:t>
        </m:r>
        <m:r>
          <m:t>s</m:t>
        </m:r>
        <m:r>
          <m:t>a</m:t>
        </m:r>
        <m:r>
          <m:t>b</m:t>
        </m:r>
        <m:r>
          <m:t>o</m:t>
        </m:r>
        <m:r>
          <m:t>u</m:t>
        </m:r>
        <m:r>
          <m:t>t</m:t>
        </m:r>
        <m:r>
          <m:t>3.1</m:t>
        </m:r>
        <m:r>
          <m:rPr>
            <m:sty m:val="p"/>
          </m:rPr>
          <m:t>×</m:t>
        </m:r>
        <m:r>
          <m:t>t</m:t>
        </m:r>
        <m:r>
          <m:t>r</m:t>
        </m:r>
        <m:r>
          <m:t>a</m:t>
        </m:r>
        <m:r>
          <m:t>i</m:t>
        </m:r>
        <m:r>
          <m:t>l</m:t>
        </m:r>
        <m:r>
          <m:t>i</m:t>
        </m:r>
        <m:r>
          <m:t>n</m:t>
        </m:r>
        <m:r>
          <m:t>g</m:t>
        </m:r>
        <m:r>
          <m:t>a</m:t>
        </m:r>
        <m:r>
          <m:t>d</m:t>
        </m:r>
        <m:r>
          <m:t>j</m:t>
        </m:r>
        <m:r>
          <m:t>u</m:t>
        </m:r>
        <m:r>
          <m:t>s</m:t>
        </m:r>
        <m:r>
          <m:t>t</m:t>
        </m:r>
        <m:r>
          <m:t>e</m:t>
        </m:r>
        <m:r>
          <m:t>d</m:t>
        </m:r>
        <m:r>
          <m:t>E</m:t>
        </m:r>
        <m:r>
          <m:t>B</m:t>
        </m:r>
        <m:r>
          <m:t>I</m:t>
        </m:r>
        <m:r>
          <m:t>T</m:t>
        </m:r>
        <m:r>
          <m:t>D</m:t>
        </m:r>
        <m:r>
          <m:t>A</m:t>
        </m:r>
        <m:r>
          <m:t>a</m:t>
        </m:r>
        <m:r>
          <m:t>t</m:t>
        </m:r>
        <m:r>
          <m:t>q</m:t>
        </m:r>
        <m:r>
          <m:t>u</m:t>
        </m:r>
        <m:r>
          <m:t>a</m:t>
        </m:r>
        <m:r>
          <m:t>r</m:t>
        </m:r>
        <m:r>
          <m:t>t</m:t>
        </m:r>
        <m:r>
          <m:t>e</m:t>
        </m:r>
        <m:r>
          <m:t>r</m:t>
        </m:r>
        <m:r>
          <m:rPr>
            <m:sty m:val="p"/>
          </m:rPr>
          <m:t>−</m:t>
        </m:r>
        <m:r>
          <m:t>e</m:t>
        </m:r>
        <m:r>
          <m:t>n</m:t>
        </m:r>
        <m:r>
          <m:t>d</m:t>
        </m:r>
        <m:r>
          <m:rPr>
            <m:sty m:val="p"/>
          </m:rPr>
          <m:t>.</m:t>
        </m:r>
        <m:r>
          <m:t>T</m:t>
        </m:r>
        <m:r>
          <m:t>h</m:t>
        </m:r>
        <m:r>
          <m:t>e</m:t>
        </m:r>
        <m:r>
          <m:t>c</m:t>
        </m:r>
        <m:r>
          <m:t>o</m:t>
        </m:r>
        <m:r>
          <m:t>m</m:t>
        </m:r>
        <m:r>
          <m:t>p</m:t>
        </m:r>
        <m:r>
          <m:t>a</m:t>
        </m:r>
        <m:r>
          <m:t>n</m:t>
        </m:r>
        <m:r>
          <m:t>y</m:t>
        </m:r>
        <m:r>
          <m:t>s</m:t>
        </m:r>
        <m:r>
          <m:t>u</m:t>
        </m:r>
        <m:r>
          <m:t>b</m:t>
        </m:r>
        <m:r>
          <m:t>s</m:t>
        </m:r>
        <m:r>
          <m:t>e</m:t>
        </m:r>
        <m:r>
          <m:t>q</m:t>
        </m:r>
        <m:r>
          <m:t>u</m:t>
        </m:r>
        <m:r>
          <m:t>e</m:t>
        </m:r>
        <m:r>
          <m:t>n</m:t>
        </m:r>
        <m:r>
          <m:t>t</m:t>
        </m:r>
        <m:r>
          <m:t>l</m:t>
        </m:r>
        <m:r>
          <m:t>y</m:t>
        </m:r>
        <m:r>
          <m:t>i</m:t>
        </m:r>
        <m:r>
          <m:t>s</m:t>
        </m:r>
        <m:r>
          <m:t>s</m:t>
        </m:r>
        <m:r>
          <m:t>u</m:t>
        </m:r>
        <m:r>
          <m:t>e</m:t>
        </m:r>
        <m:r>
          <m:t>d</m:t>
        </m:r>
        <m:r>
          <m:rPr>
            <m:sty m:val="p"/>
          </m:rPr>
          <m:t>*</m:t>
        </m:r>
        <m:r>
          <m:rPr>
            <m:sty m:val="p"/>
          </m:rPr>
          <m:t>*</m:t>
        </m:r>
      </m:oMath>
      <w:r>
        <w:t xml:space="preserve">1 billion of 5.5% notes due 2031**, partly to repay revolving-credit borrowings.</w:t>
      </w:r>
    </w:p>
    <w:p>
      <w:pPr>
        <w:pStyle w:val="BodyText"/>
      </w:pPr>
      <w:r>
        <w:t xml:space="preserve">Investors should therefore monitor whether Hilton continues repurchasing shares aggressively at current prices and whether management remains comfortable with leverage around present levels.</w:t>
      </w:r>
    </w:p>
    <w:bookmarkEnd w:id="20"/>
    <w:bookmarkStart w:id="24" w:name="potential-stock-reaction-framework"/>
    <w:p>
      <w:pPr>
        <w:pStyle w:val="Heading2"/>
      </w:pPr>
      <w:r>
        <w:t xml:space="preserve">Potential stock-reaction framework</w:t>
      </w:r>
    </w:p>
    <w:bookmarkStart w:id="21" w:name="bullish-result"/>
    <w:p>
      <w:pPr>
        <w:pStyle w:val="Heading3"/>
      </w:pPr>
      <w:r>
        <w:t xml:space="preserve">Bullish result</w:t>
      </w:r>
    </w:p>
    <w:p>
      <w:pPr>
        <w:pStyle w:val="Compact"/>
        <w:numPr>
          <w:ilvl w:val="0"/>
          <w:numId w:val="1010"/>
        </w:numPr>
      </w:pPr>
      <w:r>
        <w:t xml:space="preserve">RevPAR above</w:t>
      </w:r>
      <w:r>
        <w:t xml:space="preserve"> </w:t>
      </w:r>
      <w:r>
        <w:rPr>
          <w:b/>
          <w:bCs/>
        </w:rPr>
        <w:t xml:space="preserve">3%</w:t>
      </w:r>
      <w:r>
        <w:t xml:space="preserve"> </w:t>
      </w:r>
      <w:r>
        <w:t xml:space="preserve">despite the Middle East drag.</w:t>
      </w:r>
    </w:p>
    <w:p>
      <w:pPr>
        <w:pStyle w:val="Compact"/>
        <w:numPr>
          <w:ilvl w:val="0"/>
          <w:numId w:val="1010"/>
        </w:numPr>
      </w:pPr>
      <w:r>
        <w:t xml:space="preserve">Adjusted EBITDA above</w:t>
      </w:r>
      <w:r>
        <w:t xml:space="preserve"> </w:t>
      </w:r>
      <w:r>
        <w:rPr>
          <w:b/>
          <w:bCs/>
        </w:rPr>
        <w:t xml:space="preserve">$1.035B</w:t>
      </w:r>
      <w:r>
        <w:t xml:space="preserve">.</w:t>
      </w:r>
    </w:p>
    <w:p>
      <w:pPr>
        <w:pStyle w:val="Compact"/>
        <w:numPr>
          <w:ilvl w:val="0"/>
          <w:numId w:val="1010"/>
        </w:numPr>
      </w:pPr>
      <w:r>
        <w:t xml:space="preserve">U.S. business-transient and group demand strengthening into July.</w:t>
      </w:r>
    </w:p>
    <w:p>
      <w:pPr>
        <w:pStyle w:val="Compact"/>
        <w:numPr>
          <w:ilvl w:val="0"/>
          <w:numId w:val="1010"/>
        </w:numPr>
      </w:pPr>
      <w:r>
        <w:t xml:space="preserve">FY RevPAR or EBITDA guidance raised.</w:t>
      </w:r>
    </w:p>
    <w:p>
      <w:pPr>
        <w:pStyle w:val="Compact"/>
        <w:numPr>
          <w:ilvl w:val="0"/>
          <w:numId w:val="1010"/>
        </w:numPr>
      </w:pPr>
      <w:r>
        <w:t xml:space="preserve">Net unit growth tracking toward the upper half of 6%–7%.</w:t>
      </w:r>
    </w:p>
    <w:p>
      <w:pPr>
        <w:pStyle w:val="Compact"/>
        <w:numPr>
          <w:ilvl w:val="0"/>
          <w:numId w:val="1010"/>
        </w:numPr>
      </w:pPr>
      <w:r>
        <w:t xml:space="preserve">Middle East trends clearly stabilizing.</w:t>
      </w:r>
    </w:p>
    <w:bookmarkEnd w:id="21"/>
    <w:bookmarkStart w:id="22" w:name="neutral-result"/>
    <w:p>
      <w:pPr>
        <w:pStyle w:val="Heading3"/>
      </w:pPr>
      <w:r>
        <w:t xml:space="preserve">Neutral result</w:t>
      </w:r>
    </w:p>
    <w:p>
      <w:pPr>
        <w:pStyle w:val="Compact"/>
        <w:numPr>
          <w:ilvl w:val="0"/>
          <w:numId w:val="1011"/>
        </w:numPr>
      </w:pPr>
      <w:r>
        <w:t xml:space="preserve">RevPAR around</w:t>
      </w:r>
      <w:r>
        <w:t xml:space="preserve"> </w:t>
      </w:r>
      <w:r>
        <w:rPr>
          <w:b/>
          <w:bCs/>
        </w:rPr>
        <w:t xml:space="preserve">2.5%</w:t>
      </w:r>
      <w:r>
        <w:t xml:space="preserve">.</w:t>
      </w:r>
    </w:p>
    <w:p>
      <w:pPr>
        <w:pStyle w:val="Compact"/>
        <w:numPr>
          <w:ilvl w:val="0"/>
          <w:numId w:val="1011"/>
        </w:numPr>
      </w:pPr>
      <w:r>
        <w:t xml:space="preserve">EBITDA around</w:t>
      </w:r>
      <w:r>
        <w:t xml:space="preserve"> </w:t>
      </w:r>
      <w:r>
        <w:rPr>
          <w:b/>
          <w:bCs/>
        </w:rPr>
        <w:t xml:space="preserve">$1.03B</w:t>
      </w:r>
      <w:r>
        <w:t xml:space="preserve">.</w:t>
      </w:r>
    </w:p>
    <w:p>
      <w:pPr>
        <w:pStyle w:val="Compact"/>
        <w:numPr>
          <w:ilvl w:val="0"/>
          <w:numId w:val="1011"/>
        </w:numPr>
      </w:pPr>
      <w:r>
        <w:t xml:space="preserve">Adjusted EPS near $2.25.</w:t>
      </w:r>
    </w:p>
    <w:p>
      <w:pPr>
        <w:pStyle w:val="Compact"/>
        <w:numPr>
          <w:ilvl w:val="0"/>
          <w:numId w:val="1011"/>
        </w:numPr>
      </w:pPr>
      <w:r>
        <w:t xml:space="preserve">Full-year guidance reiterated.</w:t>
      </w:r>
    </w:p>
    <w:p>
      <w:pPr>
        <w:pStyle w:val="Compact"/>
        <w:numPr>
          <w:ilvl w:val="0"/>
          <w:numId w:val="1011"/>
        </w:numPr>
      </w:pPr>
      <w:r>
        <w:t xml:space="preserve">Healthy demand commentary but no meaningful acceleration.</w:t>
      </w:r>
    </w:p>
    <w:p>
      <w:pPr>
        <w:pStyle w:val="FirstParagraph"/>
      </w:pPr>
      <w:r>
        <w:t xml:space="preserve">This could produce a muted response because it is close to existing expectations.</w:t>
      </w:r>
    </w:p>
    <w:bookmarkEnd w:id="22"/>
    <w:bookmarkStart w:id="23" w:name="bearish-result"/>
    <w:p>
      <w:pPr>
        <w:pStyle w:val="Heading3"/>
      </w:pPr>
      <w:r>
        <w:t xml:space="preserve">Bearish result</w:t>
      </w:r>
    </w:p>
    <w:p>
      <w:pPr>
        <w:pStyle w:val="Compact"/>
        <w:numPr>
          <w:ilvl w:val="0"/>
          <w:numId w:val="1012"/>
        </w:numPr>
      </w:pPr>
      <w:r>
        <w:t xml:space="preserve">RevPAR below</w:t>
      </w:r>
      <w:r>
        <w:t xml:space="preserve"> </w:t>
      </w:r>
      <w:r>
        <w:rPr>
          <w:b/>
          <w:bCs/>
        </w:rPr>
        <w:t xml:space="preserve">2%</w:t>
      </w:r>
      <w:r>
        <w:t xml:space="preserve"> </w:t>
      </w:r>
      <w:r>
        <w:t xml:space="preserve">or evidence that U.S. momentum weakened late in the quarter.</w:t>
      </w:r>
    </w:p>
    <w:p>
      <w:pPr>
        <w:pStyle w:val="Compact"/>
        <w:numPr>
          <w:ilvl w:val="0"/>
          <w:numId w:val="1012"/>
        </w:numPr>
      </w:pPr>
      <w:r>
        <w:t xml:space="preserve">EBITDA below the low end of guidance.</w:t>
      </w:r>
    </w:p>
    <w:p>
      <w:pPr>
        <w:pStyle w:val="Compact"/>
        <w:numPr>
          <w:ilvl w:val="0"/>
          <w:numId w:val="1012"/>
        </w:numPr>
      </w:pPr>
      <w:r>
        <w:t xml:space="preserve">Middle East weakness spreading to other regions.</w:t>
      </w:r>
    </w:p>
    <w:p>
      <w:pPr>
        <w:pStyle w:val="Compact"/>
        <w:numPr>
          <w:ilvl w:val="0"/>
          <w:numId w:val="1012"/>
        </w:numPr>
      </w:pPr>
      <w:r>
        <w:t xml:space="preserve">Lower group pace or softening corporate leads.</w:t>
      </w:r>
    </w:p>
    <w:p>
      <w:pPr>
        <w:pStyle w:val="Compact"/>
        <w:numPr>
          <w:ilvl w:val="0"/>
          <w:numId w:val="1012"/>
        </w:numPr>
      </w:pPr>
      <w:r>
        <w:t xml:space="preserve">Net unit growth trending toward—or below—the bottom of guidance.</w:t>
      </w:r>
    </w:p>
    <w:p>
      <w:pPr>
        <w:pStyle w:val="Compact"/>
        <w:numPr>
          <w:ilvl w:val="0"/>
          <w:numId w:val="1012"/>
        </w:numPr>
      </w:pPr>
      <w:r>
        <w:t xml:space="preserve">Full-year guidance reduced or maintained only through greater assumed buyback activity.</w:t>
      </w:r>
    </w:p>
    <w:bookmarkEnd w:id="23"/>
    <w:bookmarkEnd w:id="24"/>
    <w:bookmarkStart w:id="25" w:name="bottom-line"/>
    <w:p>
      <w:pPr>
        <w:pStyle w:val="Heading2"/>
      </w:pPr>
      <w:r>
        <w:t xml:space="preserve">Bottom line</w:t>
      </w:r>
    </w:p>
    <w:p>
      <w:pPr>
        <w:pStyle w:val="FirstParagraph"/>
      </w:pPr>
      <w:r>
        <w:t xml:space="preserve">Hilton appears positioned to meet or modestly exceed its Q2 financial targets. The easy RevPAR comparison, healthy U.S. demand and strong room growth should offset much—but not necessarily all—of the Middle East disruption.</w:t>
      </w:r>
    </w:p>
    <w:p>
      <w:pPr>
        <w:pStyle w:val="BodyText"/>
      </w:pPr>
      <w:r>
        <w:t xml:space="preserve">However,</w:t>
      </w:r>
      <w:r>
        <w:t xml:space="preserve"> </w:t>
      </w:r>
      <w:r>
        <w:rPr>
          <w:b/>
          <w:bCs/>
        </w:rPr>
        <w:t xml:space="preserve">the quarter itself is unlikely to settle the investment debate</w:t>
      </w:r>
      <w:r>
        <w:t xml:space="preserve">. At roughly 37× guided adjusted earnings, investors need evidence that Hilton can sustain mid-single-digit fee growth, 6%–7% net unit growth and substantial buybacks well beyond 2026.</w:t>
      </w:r>
    </w:p>
    <w:p>
      <w:pPr>
        <w:pStyle w:val="BodyText"/>
      </w:pPr>
      <w:r>
        <w:t xml:space="preserve">The most important signals will therefore be:</w:t>
      </w:r>
    </w:p>
    <w:p>
      <w:pPr>
        <w:pStyle w:val="Compact"/>
        <w:numPr>
          <w:ilvl w:val="0"/>
          <w:numId w:val="1013"/>
        </w:numPr>
      </w:pPr>
      <w:r>
        <w:t xml:space="preserve">U.S. business and group trends into July.</w:t>
      </w:r>
    </w:p>
    <w:p>
      <w:pPr>
        <w:pStyle w:val="Compact"/>
        <w:numPr>
          <w:ilvl w:val="0"/>
          <w:numId w:val="1013"/>
        </w:numPr>
      </w:pPr>
      <w:r>
        <w:t xml:space="preserve">Middle East stabilization.</w:t>
      </w:r>
    </w:p>
    <w:p>
      <w:pPr>
        <w:pStyle w:val="Compact"/>
        <w:numPr>
          <w:ilvl w:val="0"/>
          <w:numId w:val="1013"/>
        </w:numPr>
      </w:pPr>
      <w:r>
        <w:t xml:space="preserve">Second-half RevPAR expectations.</w:t>
      </w:r>
    </w:p>
    <w:p>
      <w:pPr>
        <w:pStyle w:val="Compact"/>
        <w:numPr>
          <w:ilvl w:val="0"/>
          <w:numId w:val="1013"/>
        </w:numPr>
      </w:pPr>
      <w:r>
        <w:t xml:space="preserve">Net unit growth and construction starts.</w:t>
      </w:r>
    </w:p>
    <w:p>
      <w:pPr>
        <w:pStyle w:val="Compact"/>
        <w:numPr>
          <w:ilvl w:val="0"/>
          <w:numId w:val="1013"/>
        </w:numPr>
      </w:pPr>
      <w:r>
        <w:t xml:space="preserve">Whether any guidance increase flows through cleanly to EBITDA.</w:t>
      </w:r>
    </w:p>
    <w:p>
      <w:pPr>
        <w:pStyle w:val="FirstParagraph"/>
      </w:pPr>
      <w:r>
        <w:t xml:space="preserve">A small EPS beat alone would be less meaningful than a credible increase in Hilton’s underlying RevPAR and room-growth trajectory.</w:t>
      </w:r>
    </w:p>
    <w:p>
      <w:pPr>
        <w:pStyle w:val="BodyText"/>
      </w:pPr>
      <w:r>
        <w:rPr>
          <w:i/>
          <w:iCs/>
        </w:rPr>
        <w:t xml:space="preserve">Research basis: Hilton Q1 2026 earnings release and call transcript, Q2 2025 earnings release, Q1 2026 10-Q, May 2026 senior-notes filing, Hilton investor-relations calendar, market-consensus digest dated July 24, 2026, and stock-price data through July 27, 2026.</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hilton.com/events-and-presentations/2026/07-28-2026?utm_source=openai" TargetMode="External" /><Relationship Type="http://schemas.openxmlformats.org/officeDocument/2006/relationships/hyperlink" Id="rId12" Target="https://ir.hilton.com/~/media/Files/H/Hilton-Worldwide-IR-V3/quarterly-results/2026/hilton-q1-2026-earnings-transcript.pdf?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hilton.com/events-and-presentations/2026/07-28-2026?utm_source=openai" TargetMode="External" /><Relationship Type="http://schemas.openxmlformats.org/officeDocument/2006/relationships/hyperlink" Id="rId12" Target="https://ir.hilton.com/~/media/Files/H/Hilton-Worldwide-IR-V3/quarterly-results/2026/hilton-q1-2026-earnings-transcript.pdf?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2026-07-28T00:34:26Z</dcterms:created>
  <dcterms:modified xsi:type="dcterms:W3CDTF">2026-07-28T00:34:26Z</dcterms:modified>
</cp:coreProperties>
</file>

<file path=docProps/custom.xml><?xml version="1.0" encoding="utf-8"?>
<Properties xmlns="http://schemas.openxmlformats.org/officeDocument/2006/custom-properties" xmlns:vt="http://schemas.openxmlformats.org/officeDocument/2006/docPropsVTypes"/>
</file>