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b16c75d2a548895797cb445f82eaef2d2a39212"/>
    <w:p>
      <w:pPr>
        <w:pStyle w:val="Heading1"/>
      </w:pPr>
      <w:r>
        <w:t xml:space="preserve">Hilton Worldwide (NYSE: HLT) — 2Q26 Earnings Preview</w:t>
      </w:r>
    </w:p>
    <w:p>
      <w:pPr>
        <w:pStyle w:val="BlockText"/>
      </w:pPr>
      <w:r>
        <w:rPr>
          <w:b/>
          <w:bCs/>
        </w:rPr>
        <w:t xml:space="preserve">Timing note:</w:t>
      </w:r>
      <w:r>
        <w:t xml:space="preserve"> </w:t>
      </w:r>
      <w:r>
        <w:t xml:space="preserve">July 28, 2026 is</w:t>
      </w:r>
      <w:r>
        <w:t xml:space="preserve"> </w:t>
      </w:r>
      <w:r>
        <w:rPr>
          <w:b/>
          <w:bCs/>
        </w:rPr>
        <w:t xml:space="preserve">today</w:t>
      </w:r>
      <w:r>
        <w:t xml:space="preserve">, not tomorrow. This preview is framed using information available through the</w:t>
      </w:r>
      <w:r>
        <w:t xml:space="preserve"> </w:t>
      </w:r>
      <w:r>
        <w:rPr>
          <w:b/>
          <w:bCs/>
        </w:rPr>
        <w:t xml:space="preserve">July 27 closing price</w:t>
      </w:r>
      <w:r>
        <w:t xml:space="preserve"> </w:t>
      </w:r>
      <w:r>
        <w:t xml:space="preserve">and ahead of Hilton’s scheduled</w:t>
      </w:r>
      <w:r>
        <w:t xml:space="preserve"> </w:t>
      </w:r>
      <w:r>
        <w:rPr>
          <w:b/>
          <w:bCs/>
        </w:rPr>
        <w:t xml:space="preserve">2Q26 earnings call on July 28</w:t>
      </w:r>
      <w:r>
        <w:t xml:space="preserve">.</w:t>
      </w:r>
    </w:p>
    <w:bookmarkStart w:id="9" w:name="X6b5535a616b1d8e6490c2f9a914f6059b1da463"/>
    <w:p>
      <w:pPr>
        <w:pStyle w:val="Heading2"/>
      </w:pPr>
      <w:r>
        <w:t xml:space="preserve">Investment setup: execution against guidance matters more than the headline print</w:t>
      </w:r>
    </w:p>
    <w:p>
      <w:pPr>
        <w:pStyle w:val="FirstParagraph"/>
      </w:pPr>
      <w:r>
        <w:t xml:space="preserve">Hilton enters 2Q with a constructive core U.S. demand narrative, a record development pipeline, and substantial planned capital return. The key offset is an unusually severe, but geographically concentrated, Middle East disruption that management had already identified as the principal drag on second-quarter results.</w:t>
      </w:r>
    </w:p>
    <w:p>
      <w:pPr>
        <w:pStyle w:val="BodyText"/>
      </w:pPr>
      <w:r>
        <w:t xml:space="preserve">The central question for investors is therefore not simply whether Hilton beats earnings expectations. It is whether the company can demonstrate that its</w:t>
      </w:r>
      <w:r>
        <w:t xml:space="preserve"> </w:t>
      </w:r>
      <w:r>
        <w:rPr>
          <w:b/>
          <w:bCs/>
        </w:rPr>
        <w:t xml:space="preserve">underlying U.S., group, and business-transient momentum remains strong enough to offset external international pressure</w:t>
      </w:r>
      <w:r>
        <w:t xml:space="preserve">, while maintaining confidence in its full-year RevPAR and net-unit-growth outlook.</w:t>
      </w:r>
    </w:p>
    <w:p>
      <w:pPr>
        <w:pStyle w:val="BodyText"/>
      </w:pPr>
      <w:r>
        <w:t xml:space="preserve">The stock closed at</w:t>
      </w:r>
      <w:r>
        <w:t xml:space="preserve"> </w:t>
      </w:r>
      <w:r>
        <w:rPr>
          <w:b/>
          <w:bCs/>
        </w:rPr>
        <w:t xml:space="preserve">$330.89 on July 27</w:t>
      </w:r>
      <w:r>
        <w:t xml:space="preserve">—roughly</w:t>
      </w:r>
      <w:r>
        <w:t xml:space="preserve"> </w:t>
      </w:r>
      <w:r>
        <w:rPr>
          <w:b/>
          <w:bCs/>
        </w:rPr>
        <w:t xml:space="preserve">2% above</w:t>
      </w:r>
      <w:r>
        <w:t xml:space="preserve"> </w:t>
      </w:r>
      <w:r>
        <w:t xml:space="preserve">its April 28 close following 1Q results, but about</w:t>
      </w:r>
      <w:r>
        <w:t xml:space="preserve"> </w:t>
      </w:r>
      <w:r>
        <w:rPr>
          <w:b/>
          <w:bCs/>
        </w:rPr>
        <w:t xml:space="preserve">5.5% below</w:t>
      </w:r>
      <w:r>
        <w:t xml:space="preserve"> </w:t>
      </w:r>
      <w:r>
        <w:t xml:space="preserve">its June 16 high of $350.22. That performance suggests the market is looking for confirmation that the better domestic-demand trend described in April has continued, rather than merely a guide-level quarter.</w:t>
      </w:r>
    </w:p>
    <w:bookmarkEnd w:id="9"/>
    <w:bookmarkStart w:id="10"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company guidance</w:t>
            </w:r>
          </w:p>
        </w:tc>
        <w:tc>
          <w:tcPr/>
          <w:p>
            <w:pPr>
              <w:pStyle w:val="Compact"/>
              <w:jc w:val="right"/>
            </w:pPr>
            <w:r>
              <w:t xml:space="preserve">Street expectation*</w:t>
            </w:r>
          </w:p>
        </w:tc>
        <w:tc>
          <w:tcPr/>
          <w:p>
            <w:pPr>
              <w:pStyle w:val="Compact"/>
            </w:pPr>
            <w:r>
              <w:t xml:space="preserve">Key implication</w:t>
            </w:r>
          </w:p>
        </w:tc>
      </w:tr>
      <w:tr>
        <w:tc>
          <w:tcPr/>
          <w:p>
            <w:pPr>
              <w:pStyle w:val="Compact"/>
            </w:pPr>
            <w:r>
              <w:t xml:space="preserve">System-wide comparable RevPAR growth</w:t>
            </w:r>
          </w:p>
        </w:tc>
        <w:tc>
          <w:tcPr/>
          <w:p>
            <w:pPr>
              <w:pStyle w:val="Compact"/>
              <w:jc w:val="right"/>
            </w:pPr>
            <w:r>
              <w:rPr>
                <w:b/>
                <w:bCs/>
              </w:rPr>
              <w:t xml:space="preserve">+2.0% to +3.0%</w:t>
            </w:r>
          </w:p>
        </w:tc>
        <w:tc>
          <w:tcPr/>
          <w:p>
            <w:pPr>
              <w:pStyle w:val="Compact"/>
              <w:jc w:val="right"/>
            </w:pPr>
            <w:r>
              <w:rPr>
                <w:b/>
                <w:bCs/>
              </w:rPr>
              <w:t xml:space="preserve">~+2.5%</w:t>
            </w:r>
          </w:p>
        </w:tc>
        <w:tc>
          <w:tcPr/>
          <w:p>
            <w:pPr>
              <w:pStyle w:val="Compact"/>
            </w:pPr>
            <w:r>
              <w:t xml:space="preserve">Essentially at the midpoint of Hilton’s range</w:t>
            </w:r>
          </w:p>
        </w:tc>
      </w:tr>
      <w:tr>
        <w:tc>
          <w:tcPr/>
          <w:p>
            <w:pPr>
              <w:pStyle w:val="Compact"/>
            </w:pPr>
            <w:r>
              <w:t xml:space="preserve">Adjusted EBITDA</w:t>
            </w:r>
          </w:p>
        </w:tc>
        <w:tc>
          <w:tcPr/>
          <w:p>
            <w:pPr>
              <w:pStyle w:val="Compact"/>
              <w:jc w:val="right"/>
            </w:pPr>
            <m:oMath>
              <m:r>
                <m:t>1.015</m:t>
              </m:r>
              <m:r>
                <m:t>B</m:t>
              </m:r>
              <m:r>
                <m:rPr>
                  <m:sty m:val="p"/>
                </m:rPr>
                <m:t>–</m:t>
              </m:r>
            </m:oMath>
            <w:r>
              <w:rPr>
                <w:b/>
                <w:bCs/>
              </w:rPr>
              <w:t xml:space="preserve">1.035B</w:t>
            </w:r>
          </w:p>
        </w:tc>
        <w:tc>
          <w:tcPr/>
          <w:p>
            <w:pPr>
              <w:pStyle w:val="Compact"/>
              <w:jc w:val="right"/>
            </w:pPr>
            <w:r>
              <w:rPr>
                <w:b/>
                <w:bCs/>
              </w:rPr>
              <w:t xml:space="preserve">~$1.03B</w:t>
            </w:r>
          </w:p>
        </w:tc>
        <w:tc>
          <w:tcPr/>
          <w:p>
            <w:pPr>
              <w:pStyle w:val="Compact"/>
            </w:pPr>
            <w:r>
              <w:t xml:space="preserve">Toward the high end of guidance</w:t>
            </w:r>
          </w:p>
        </w:tc>
      </w:tr>
      <w:tr>
        <w:tc>
          <w:tcPr/>
          <w:p>
            <w:pPr>
              <w:pStyle w:val="Compact"/>
            </w:pPr>
            <w:r>
              <w:t xml:space="preserve">Adjusted EPS</w:t>
            </w:r>
          </w:p>
        </w:tc>
        <w:tc>
          <w:tcPr/>
          <w:p>
            <w:pPr>
              <w:pStyle w:val="Compact"/>
              <w:jc w:val="right"/>
            </w:pPr>
            <m:oMath>
              <m:r>
                <m:t>2.18</m:t>
              </m:r>
              <m:r>
                <m:rPr>
                  <m:sty m:val="p"/>
                </m:rPr>
                <m:t>–</m:t>
              </m:r>
            </m:oMath>
            <w:r>
              <w:rPr>
                <w:b/>
                <w:bCs/>
              </w:rPr>
              <w:t xml:space="preserve">2.24</w:t>
            </w:r>
          </w:p>
        </w:tc>
        <w:tc>
          <w:tcPr/>
          <w:p>
            <w:pPr>
              <w:pStyle w:val="Compact"/>
              <w:jc w:val="right"/>
            </w:pPr>
            <w:r>
              <w:rPr>
                <w:b/>
                <w:bCs/>
              </w:rPr>
              <w:t xml:space="preserve">~$2.25</w:t>
            </w:r>
          </w:p>
        </w:tc>
        <w:tc>
          <w:tcPr/>
          <w:p>
            <w:pPr>
              <w:pStyle w:val="Compact"/>
            </w:pPr>
            <w:r>
              <w:t xml:space="preserve">Consensus appears modestly above the high end of Hilton’s guide</w:t>
            </w:r>
          </w:p>
        </w:tc>
      </w:tr>
      <w:tr>
        <w:tc>
          <w:tcPr/>
          <w:p>
            <w:pPr>
              <w:pStyle w:val="Compact"/>
            </w:pPr>
            <w:r>
              <w:t xml:space="preserve">Revenue</w:t>
            </w:r>
          </w:p>
        </w:tc>
        <w:tc>
          <w:tcPr/>
          <w:p>
            <w:pPr>
              <w:pStyle w:val="Compact"/>
              <w:jc w:val="right"/>
            </w:pPr>
            <w:r>
              <w:t xml:space="preserve">—</w:t>
            </w:r>
          </w:p>
        </w:tc>
        <w:tc>
          <w:tcPr/>
          <w:p>
            <w:pPr>
              <w:pStyle w:val="Compact"/>
              <w:jc w:val="right"/>
            </w:pPr>
            <w:r>
              <w:rPr>
                <w:b/>
                <w:bCs/>
              </w:rPr>
              <w:t xml:space="preserve">~$3.32B</w:t>
            </w:r>
          </w:p>
        </w:tc>
        <w:tc>
          <w:tcPr/>
          <w:p>
            <w:pPr>
              <w:pStyle w:val="Compact"/>
            </w:pPr>
            <w:r>
              <w:t xml:space="preserve">About 5.9% year-over-year growth expected</w:t>
            </w:r>
          </w:p>
        </w:tc>
      </w:tr>
    </w:tbl>
    <w:p>
      <w:pPr>
        <w:pStyle w:val="BodyText"/>
      </w:pPr>
      <w:r>
        <w:t xml:space="preserve">*Market expectations reflected in the July 24 pre-earnings news digest.</w:t>
      </w:r>
    </w:p>
    <w:p>
      <w:pPr>
        <w:pStyle w:val="BodyText"/>
      </w:pPr>
      <w:r>
        <w:rPr>
          <w:b/>
          <w:bCs/>
        </w:rPr>
        <w:t xml:space="preserve">Takeaway:</w:t>
      </w:r>
      <w:r>
        <w:t xml:space="preserve"> </w:t>
      </w:r>
      <w:r>
        <w:t xml:space="preserve">expectations are not demanding on RevPAR or EBITDA, but the EPS figure creates some risk of a technically “in-line” company result being viewed as light relative to consensus. More importantly, investors are likely to focus on the trajectory of RevPAR and the full-year outlook rather than a small EPS variance.</w:t>
      </w:r>
    </w:p>
    <w:bookmarkEnd w:id="10"/>
    <w:bookmarkStart w:id="13" w:name="X3335e23ea0d40c3d750fa70e49e20f1855c0ff5"/>
    <w:p>
      <w:pPr>
        <w:pStyle w:val="Heading2"/>
      </w:pPr>
      <w:r>
        <w:t xml:space="preserve">The key operating debate: domestic strength versus Middle East disruption</w:t>
      </w:r>
    </w:p>
    <w:bookmarkStart w:id="11" w:name="X9971ce0b8c79b6712ae9477df9ffb6c5bc00c6a"/>
    <w:p>
      <w:pPr>
        <w:pStyle w:val="Heading3"/>
      </w:pPr>
      <w:r>
        <w:t xml:space="preserve">1. U.S. demand needs to validate management’s more optimistic stance</w:t>
      </w:r>
    </w:p>
    <w:p>
      <w:pPr>
        <w:pStyle w:val="FirstParagraph"/>
      </w:pPr>
      <w:r>
        <w:t xml:space="preserve">Hilton’s 1Q system-wide RevPAR rose</w:t>
      </w:r>
      <w:r>
        <w:t xml:space="preserve"> </w:t>
      </w:r>
      <w:r>
        <w:rPr>
          <w:b/>
          <w:bCs/>
        </w:rPr>
        <w:t xml:space="preserve">3.6%</w:t>
      </w:r>
      <w:r>
        <w:t xml:space="preserve">, including</w:t>
      </w:r>
      <w:r>
        <w:t xml:space="preserve"> </w:t>
      </w:r>
      <w:r>
        <w:rPr>
          <w:b/>
          <w:bCs/>
        </w:rPr>
        <w:t xml:space="preserve">+3.4% in the U.S.</w:t>
      </w:r>
      <w:r>
        <w:t xml:space="preserve">. Management characterized U.S. demand as sequentially improving through the quarter, with strength across all major segments:</w:t>
      </w:r>
    </w:p>
    <w:p>
      <w:pPr>
        <w:pStyle w:val="Compact"/>
        <w:numPr>
          <w:ilvl w:val="0"/>
          <w:numId w:val="1001"/>
        </w:numPr>
      </w:pPr>
      <w:r>
        <w:rPr>
          <w:b/>
          <w:bCs/>
        </w:rPr>
        <w:t xml:space="preserve">Group RevPAR:</w:t>
      </w:r>
      <w:r>
        <w:t xml:space="preserve"> </w:t>
      </w:r>
      <w:r>
        <w:t xml:space="preserve">+4.3%</w:t>
      </w:r>
    </w:p>
    <w:p>
      <w:pPr>
        <w:pStyle w:val="Compact"/>
        <w:numPr>
          <w:ilvl w:val="0"/>
          <w:numId w:val="1001"/>
        </w:numPr>
      </w:pPr>
      <w:r>
        <w:rPr>
          <w:b/>
          <w:bCs/>
        </w:rPr>
        <w:t xml:space="preserve">Leisure transient RevPAR:</w:t>
      </w:r>
      <w:r>
        <w:t xml:space="preserve"> </w:t>
      </w:r>
      <w:r>
        <w:t xml:space="preserve">+3.5%</w:t>
      </w:r>
    </w:p>
    <w:p>
      <w:pPr>
        <w:pStyle w:val="Compact"/>
        <w:numPr>
          <w:ilvl w:val="0"/>
          <w:numId w:val="1001"/>
        </w:numPr>
      </w:pPr>
      <w:r>
        <w:rPr>
          <w:b/>
          <w:bCs/>
        </w:rPr>
        <w:t xml:space="preserve">Business transient RevPAR:</w:t>
      </w:r>
      <w:r>
        <w:t xml:space="preserve"> </w:t>
      </w:r>
      <w:r>
        <w:t xml:space="preserve">+2.7%</w:t>
      </w:r>
    </w:p>
    <w:p>
      <w:pPr>
        <w:pStyle w:val="FirstParagraph"/>
      </w:pPr>
      <w:r>
        <w:t xml:space="preserve">Management’s message was that group demand, corporate lead volumes, improving midweek business travel, and a broader recovery in lower- and mid-chain-scale demand could support continued strength. It also stated that U.S. RevPAR growth for 2026 should be at the high end of, or above, company-wide guidance.</w:t>
      </w:r>
    </w:p>
    <w:p>
      <w:pPr>
        <w:pStyle w:val="BodyText"/>
      </w:pPr>
      <w:r>
        <w:t xml:space="preserve">For 2Q, investors should watch for:</w:t>
      </w:r>
    </w:p>
    <w:p>
      <w:pPr>
        <w:pStyle w:val="Compact"/>
        <w:numPr>
          <w:ilvl w:val="0"/>
          <w:numId w:val="1002"/>
        </w:numPr>
      </w:pPr>
      <w:r>
        <w:t xml:space="preserve">Actual U.S. RevPAR versus the 1Q +3.4% pace.</w:t>
      </w:r>
    </w:p>
    <w:p>
      <w:pPr>
        <w:pStyle w:val="Compact"/>
        <w:numPr>
          <w:ilvl w:val="0"/>
          <w:numId w:val="1002"/>
        </w:numPr>
      </w:pPr>
      <w:r>
        <w:t xml:space="preserve">Whether group remains the leading segment.</w:t>
      </w:r>
    </w:p>
    <w:p>
      <w:pPr>
        <w:pStyle w:val="Compact"/>
        <w:numPr>
          <w:ilvl w:val="0"/>
          <w:numId w:val="1002"/>
        </w:numPr>
      </w:pPr>
      <w:r>
        <w:t xml:space="preserve">The durability of business-transient improvement, particularly midweek.</w:t>
      </w:r>
    </w:p>
    <w:p>
      <w:pPr>
        <w:pStyle w:val="Compact"/>
        <w:numPr>
          <w:ilvl w:val="0"/>
          <w:numId w:val="1002"/>
        </w:numPr>
      </w:pPr>
      <w:r>
        <w:t xml:space="preserve">Any evidence that consumer pressure from higher fuel prices, tariffs, and broader cost-of-living concerns has affected leisure demand.</w:t>
      </w:r>
    </w:p>
    <w:bookmarkEnd w:id="11"/>
    <w:bookmarkStart w:id="12" w:name="X6cd1b2cb0a1afbcf1671e236b44118819a4a7a4"/>
    <w:p>
      <w:pPr>
        <w:pStyle w:val="Heading3"/>
      </w:pPr>
      <w:r>
        <w:t xml:space="preserve">2. Middle East disruption is the swing factor—but investors will care most about the recovery path</w:t>
      </w:r>
    </w:p>
    <w:p>
      <w:pPr>
        <w:pStyle w:val="FirstParagraph"/>
      </w:pPr>
      <w:r>
        <w:t xml:space="preserve">Hilton explicitly said 2Q would absorb the largest impact from Middle East travel disruption. The region represents roughly</w:t>
      </w:r>
      <w:r>
        <w:t xml:space="preserve"> </w:t>
      </w:r>
      <w:r>
        <w:rPr>
          <w:b/>
          <w:bCs/>
        </w:rPr>
        <w:t xml:space="preserve">3% of Hilton’s business</w:t>
      </w:r>
      <w:r>
        <w:t xml:space="preserve">, but management suggested regional RevPAR could decline roughly</w:t>
      </w:r>
      <w:r>
        <w:t xml:space="preserve"> </w:t>
      </w:r>
      <w:r>
        <w:rPr>
          <w:b/>
          <w:bCs/>
        </w:rPr>
        <w:t xml:space="preserve">50%</w:t>
      </w:r>
      <w:r>
        <w:t xml:space="preserve"> </w:t>
      </w:r>
      <w:r>
        <w:t xml:space="preserve">in 2Q—equivalent to approximately</w:t>
      </w:r>
      <w:r>
        <w:t xml:space="preserve"> </w:t>
      </w:r>
      <w:r>
        <w:rPr>
          <w:b/>
          <w:bCs/>
        </w:rPr>
        <w:t xml:space="preserve">1.5 percentage points</w:t>
      </w:r>
      <w:r>
        <w:t xml:space="preserve"> </w:t>
      </w:r>
      <w:r>
        <w:t xml:space="preserve">of system-wide RevPAR pressure.</w:t>
      </w:r>
    </w:p>
    <w:p>
      <w:pPr>
        <w:pStyle w:val="BodyText"/>
      </w:pPr>
      <w:r>
        <w:t xml:space="preserve">That framing is crucial: absent this drag, underlying system-wide growth could have been stronger than the reported number implies.</w:t>
      </w:r>
    </w:p>
    <w:p>
      <w:pPr>
        <w:pStyle w:val="BodyText"/>
      </w:pPr>
      <w:r>
        <w:t xml:space="preserve">The call should clarify:</w:t>
      </w:r>
    </w:p>
    <w:p>
      <w:pPr>
        <w:pStyle w:val="Compact"/>
        <w:numPr>
          <w:ilvl w:val="0"/>
          <w:numId w:val="1003"/>
        </w:numPr>
      </w:pPr>
      <w:r>
        <w:t xml:space="preserve">Whether the Middle East decline was as severe as anticipated.</w:t>
      </w:r>
    </w:p>
    <w:p>
      <w:pPr>
        <w:pStyle w:val="Compact"/>
        <w:numPr>
          <w:ilvl w:val="0"/>
          <w:numId w:val="1003"/>
        </w:numPr>
      </w:pPr>
      <w:r>
        <w:t xml:space="preserve">Whether key markets have stabilized or improved since April.</w:t>
      </w:r>
    </w:p>
    <w:p>
      <w:pPr>
        <w:pStyle w:val="Compact"/>
        <w:numPr>
          <w:ilvl w:val="0"/>
          <w:numId w:val="1003"/>
        </w:numPr>
      </w:pPr>
      <w:r>
        <w:t xml:space="preserve">Whether disruption created incremental spillover into other destinations, such as India, the Maldives, or the Seychelles.</w:t>
      </w:r>
    </w:p>
    <w:p>
      <w:pPr>
        <w:pStyle w:val="Compact"/>
        <w:numPr>
          <w:ilvl w:val="0"/>
          <w:numId w:val="1003"/>
        </w:numPr>
      </w:pPr>
      <w:r>
        <w:t xml:space="preserve">Whether the drag to the full-year RevPAR range remains in the prior estimated</w:t>
      </w:r>
      <w:r>
        <w:t xml:space="preserve"> </w:t>
      </w:r>
      <w:r>
        <w:rPr>
          <w:b/>
          <w:bCs/>
        </w:rPr>
        <w:t xml:space="preserve">0.5–1.0 percentage-point</w:t>
      </w:r>
      <w:r>
        <w:t xml:space="preserve"> </w:t>
      </w:r>
      <w:r>
        <w:t xml:space="preserve">range.</w:t>
      </w:r>
    </w:p>
    <w:p>
      <w:pPr>
        <w:pStyle w:val="FirstParagraph"/>
      </w:pPr>
      <w:r>
        <w:t xml:space="preserve">A better-than-feared Middle East trend could be the cleanest upside catalyst, because it would validate Hilton’s argument that the low-end full-year framework is conservative. Conversely, a prolonged disruption would pressure the company’s ability to sustain its 2–3% full-year RevPAR outlook.</w:t>
      </w:r>
    </w:p>
    <w:bookmarkEnd w:id="12"/>
    <w:bookmarkEnd w:id="13"/>
    <w:bookmarkStart w:id="14" w:name="Xef76828c166c7523da1137a15761770f28d6c4f"/>
    <w:p>
      <w:pPr>
        <w:pStyle w:val="Heading2"/>
      </w:pPr>
      <w:r>
        <w:t xml:space="preserve">Development: unit growth remains the longer-duration equity story</w:t>
      </w:r>
    </w:p>
    <w:p>
      <w:pPr>
        <w:pStyle w:val="FirstParagraph"/>
      </w:pPr>
      <w:r>
        <w:t xml:space="preserve">Hilton’s asset-light model makes rooms growth and fee expansion central to the thesis. At the end of 1Q, the company had:</w:t>
      </w:r>
    </w:p>
    <w:p>
      <w:pPr>
        <w:pStyle w:val="Compact"/>
        <w:numPr>
          <w:ilvl w:val="0"/>
          <w:numId w:val="1004"/>
        </w:numPr>
      </w:pPr>
      <w:r>
        <w:t xml:space="preserve">A record</w:t>
      </w:r>
      <w:r>
        <w:t xml:space="preserve"> </w:t>
      </w:r>
      <w:r>
        <w:rPr>
          <w:b/>
          <w:bCs/>
        </w:rPr>
        <w:t xml:space="preserve">527,000-room</w:t>
      </w:r>
      <w:r>
        <w:t xml:space="preserve"> </w:t>
      </w:r>
      <w:r>
        <w:t xml:space="preserve">pipeline, up</w:t>
      </w:r>
      <w:r>
        <w:t xml:space="preserve"> </w:t>
      </w:r>
      <w:r>
        <w:rPr>
          <w:b/>
          <w:bCs/>
        </w:rPr>
        <w:t xml:space="preserve">5%</w:t>
      </w:r>
      <w:r>
        <w:t xml:space="preserve"> </w:t>
      </w:r>
      <w:r>
        <w:t xml:space="preserve">year-over-year.</w:t>
      </w:r>
    </w:p>
    <w:p>
      <w:pPr>
        <w:pStyle w:val="Compact"/>
        <w:numPr>
          <w:ilvl w:val="0"/>
          <w:numId w:val="1004"/>
        </w:numPr>
      </w:pPr>
      <w:r>
        <w:t xml:space="preserve">Nearly</w:t>
      </w:r>
      <w:r>
        <w:t xml:space="preserve"> </w:t>
      </w:r>
      <w:r>
        <w:rPr>
          <w:b/>
          <w:bCs/>
        </w:rPr>
        <w:t xml:space="preserve">half</w:t>
      </w:r>
      <w:r>
        <w:t xml:space="preserve"> </w:t>
      </w:r>
      <w:r>
        <w:t xml:space="preserve">of pipeline rooms under construction.</w:t>
      </w:r>
    </w:p>
    <w:p>
      <w:pPr>
        <w:pStyle w:val="Compact"/>
        <w:numPr>
          <w:ilvl w:val="0"/>
          <w:numId w:val="1004"/>
        </w:numPr>
      </w:pPr>
      <w:r>
        <w:t xml:space="preserve">More than</w:t>
      </w:r>
      <w:r>
        <w:t xml:space="preserve"> </w:t>
      </w:r>
      <w:r>
        <w:rPr>
          <w:b/>
          <w:bCs/>
        </w:rPr>
        <w:t xml:space="preserve">half</w:t>
      </w:r>
      <w:r>
        <w:t xml:space="preserve"> </w:t>
      </w:r>
      <w:r>
        <w:t xml:space="preserve">of the pipeline outside the U.S.</w:t>
      </w:r>
    </w:p>
    <w:p>
      <w:pPr>
        <w:pStyle w:val="Compact"/>
        <w:numPr>
          <w:ilvl w:val="0"/>
          <w:numId w:val="1004"/>
        </w:numPr>
      </w:pPr>
      <w:r>
        <w:rPr>
          <w:b/>
          <w:bCs/>
        </w:rPr>
        <w:t xml:space="preserve">10,900 net rooms added</w:t>
      </w:r>
      <w:r>
        <w:t xml:space="preserve"> </w:t>
      </w:r>
      <w:r>
        <w:t xml:space="preserve">in 1Q, supporting</w:t>
      </w:r>
      <w:r>
        <w:t xml:space="preserve"> </w:t>
      </w:r>
      <w:r>
        <w:rPr>
          <w:b/>
          <w:bCs/>
        </w:rPr>
        <w:t xml:space="preserve">6.3% net unit growth</w:t>
      </w:r>
      <w:r>
        <w:t xml:space="preserve">.</w:t>
      </w:r>
    </w:p>
    <w:p>
      <w:pPr>
        <w:pStyle w:val="Compact"/>
        <w:numPr>
          <w:ilvl w:val="0"/>
          <w:numId w:val="1004"/>
        </w:numPr>
      </w:pPr>
      <w:r>
        <w:t xml:space="preserve">Full-year net unit growth guidance of</w:t>
      </w:r>
      <w:r>
        <w:t xml:space="preserve"> </w:t>
      </w:r>
      <w:r>
        <w:rPr>
          <w:b/>
          <w:bCs/>
        </w:rPr>
        <w:t xml:space="preserve">6%–7%</w:t>
      </w:r>
      <w:r>
        <w:t xml:space="preserve">.</w:t>
      </w:r>
    </w:p>
    <w:p>
      <w:pPr>
        <w:pStyle w:val="FirstParagraph"/>
      </w:pPr>
      <w:r>
        <w:t xml:space="preserve">Management also said development starts should rise more than 20% in 2026, with particular strength in the U.S. and EMEA. Conversions are expected to remain important, potentially accounting for roughly</w:t>
      </w:r>
      <w:r>
        <w:t xml:space="preserve"> </w:t>
      </w:r>
      <w:r>
        <w:rPr>
          <w:b/>
          <w:bCs/>
        </w:rPr>
        <w:t xml:space="preserve">38%–40%</w:t>
      </w:r>
      <w:r>
        <w:t xml:space="preserve"> </w:t>
      </w:r>
      <w:r>
        <w:t xml:space="preserve">of openings this year, versus 36% in 1Q.</w:t>
      </w:r>
    </w:p>
    <w:p>
      <w:pPr>
        <w:pStyle w:val="BodyText"/>
      </w:pPr>
      <w:r>
        <w:t xml:space="preserve">For the report, investors should focus on:</w:t>
      </w:r>
    </w:p>
    <w:p>
      <w:pPr>
        <w:pStyle w:val="Compact"/>
        <w:numPr>
          <w:ilvl w:val="0"/>
          <w:numId w:val="1005"/>
        </w:numPr>
      </w:pPr>
      <w:r>
        <w:rPr>
          <w:b/>
          <w:bCs/>
        </w:rPr>
        <w:t xml:space="preserve">Net unit growth:</w:t>
      </w:r>
      <w:r>
        <w:t xml:space="preserve"> </w:t>
      </w:r>
      <w:r>
        <w:t xml:space="preserve">Is Hilton still tracking solidly within the 6–7% target?</w:t>
      </w:r>
    </w:p>
    <w:p>
      <w:pPr>
        <w:pStyle w:val="Compact"/>
        <w:numPr>
          <w:ilvl w:val="0"/>
          <w:numId w:val="1005"/>
        </w:numPr>
      </w:pPr>
      <w:r>
        <w:rPr>
          <w:b/>
          <w:bCs/>
        </w:rPr>
        <w:t xml:space="preserve">Pipeline conversion:</w:t>
      </w:r>
      <w:r>
        <w:t xml:space="preserve"> </w:t>
      </w:r>
      <w:r>
        <w:t xml:space="preserve">Are signings, construction starts, and openings holding up?</w:t>
      </w:r>
    </w:p>
    <w:p>
      <w:pPr>
        <w:pStyle w:val="Compact"/>
        <w:numPr>
          <w:ilvl w:val="0"/>
          <w:numId w:val="1005"/>
        </w:numPr>
      </w:pPr>
      <w:r>
        <w:rPr>
          <w:b/>
          <w:bCs/>
        </w:rPr>
        <w:t xml:space="preserve">Regional timing:</w:t>
      </w:r>
      <w:r>
        <w:t xml:space="preserve"> </w:t>
      </w:r>
      <w:r>
        <w:t xml:space="preserve">Have Middle East project delays remained timing-related, or are they beginning to affect development confidence?</w:t>
      </w:r>
    </w:p>
    <w:p>
      <w:pPr>
        <w:pStyle w:val="Compact"/>
        <w:numPr>
          <w:ilvl w:val="0"/>
          <w:numId w:val="1005"/>
        </w:numPr>
      </w:pPr>
      <w:r>
        <w:rPr>
          <w:b/>
          <w:bCs/>
        </w:rPr>
        <w:t xml:space="preserve">Conversions and new brands:</w:t>
      </w:r>
      <w:r>
        <w:t xml:space="preserve"> </w:t>
      </w:r>
      <w:r>
        <w:t xml:space="preserve">Any update on Select by Hilton/YOTEL, Apartment Collection, and newer brand launches could reinforce Hilton’s ability to extend its distribution network with limited capital intensity.</w:t>
      </w:r>
    </w:p>
    <w:bookmarkEnd w:id="14"/>
    <w:bookmarkStart w:id="17" w:name="X8dcfc294781d831730521b220f317625d92706c"/>
    <w:p>
      <w:pPr>
        <w:pStyle w:val="Heading2"/>
      </w:pPr>
      <w:r>
        <w:t xml:space="preserve">Guidance is likely the stock’s primary catalyst</w:t>
      </w:r>
    </w:p>
    <w:p>
      <w:pPr>
        <w:pStyle w:val="FirstParagraph"/>
      </w:pPr>
      <w:r>
        <w:t xml:space="preserve">Hilton raised its full-year outlook after 1Q and currently guides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Full-year 2026 metric</w:t>
            </w:r>
          </w:p>
        </w:tc>
        <w:tc>
          <w:tcPr/>
          <w:p>
            <w:pPr>
              <w:pStyle w:val="Compact"/>
              <w:jc w:val="right"/>
            </w:pPr>
            <w:r>
              <w:t xml:space="preserve">Current guidance</w:t>
            </w:r>
          </w:p>
        </w:tc>
      </w:tr>
      <w:tr>
        <w:tc>
          <w:tcPr/>
          <w:p>
            <w:pPr>
              <w:pStyle w:val="Compact"/>
            </w:pPr>
            <w:r>
              <w:t xml:space="preserve">System-wide comparable RevPAR growth</w:t>
            </w:r>
          </w:p>
        </w:tc>
        <w:tc>
          <w:tcPr/>
          <w:p>
            <w:pPr>
              <w:pStyle w:val="Compact"/>
              <w:jc w:val="right"/>
            </w:pPr>
            <w:r>
              <w:rPr>
                <w:b/>
                <w:bCs/>
              </w:rPr>
              <w:t xml:space="preserve">+2.0% to +3.0%</w:t>
            </w:r>
          </w:p>
        </w:tc>
      </w:tr>
      <w:tr>
        <w:tc>
          <w:tcPr/>
          <w:p>
            <w:pPr>
              <w:pStyle w:val="Compact"/>
            </w:pPr>
            <w:r>
              <w:t xml:space="preserve">Adjusted EBITDA</w:t>
            </w:r>
          </w:p>
        </w:tc>
        <w:tc>
          <w:tcPr/>
          <w:p>
            <w:pPr>
              <w:pStyle w:val="Compact"/>
              <w:jc w:val="right"/>
            </w:pPr>
            <m:oMath>
              <m:r>
                <m:t>4.020</m:t>
              </m:r>
              <m:r>
                <m:t>B</m:t>
              </m:r>
              <m:r>
                <m:rPr>
                  <m:sty m:val="p"/>
                </m:rPr>
                <m:t>–</m:t>
              </m:r>
            </m:oMath>
            <w:r>
              <w:rPr>
                <w:b/>
                <w:bCs/>
              </w:rPr>
              <w:t xml:space="preserve">4.060B</w:t>
            </w:r>
          </w:p>
        </w:tc>
      </w:tr>
      <w:tr>
        <w:tc>
          <w:tcPr/>
          <w:p>
            <w:pPr>
              <w:pStyle w:val="Compact"/>
            </w:pPr>
            <w:r>
              <w:t xml:space="preserve">Adjusted EPS</w:t>
            </w:r>
          </w:p>
        </w:tc>
        <w:tc>
          <w:tcPr/>
          <w:p>
            <w:pPr>
              <w:pStyle w:val="Compact"/>
              <w:jc w:val="right"/>
            </w:pPr>
            <m:oMath>
              <m:r>
                <m:t>8.79</m:t>
              </m:r>
              <m:r>
                <m:rPr>
                  <m:sty m:val="p"/>
                </m:rPr>
                <m:t>–</m:t>
              </m:r>
            </m:oMath>
            <w:r>
              <w:rPr>
                <w:b/>
                <w:bCs/>
              </w:rPr>
              <w:t xml:space="preserve">8.91</w:t>
            </w:r>
          </w:p>
        </w:tc>
      </w:tr>
      <w:tr>
        <w:tc>
          <w:tcPr/>
          <w:p>
            <w:pPr>
              <w:pStyle w:val="Compact"/>
            </w:pPr>
            <w:r>
              <w:t xml:space="preserve">Net unit growth</w:t>
            </w:r>
          </w:p>
        </w:tc>
        <w:tc>
          <w:tcPr/>
          <w:p>
            <w:pPr>
              <w:pStyle w:val="Compact"/>
              <w:jc w:val="right"/>
            </w:pPr>
            <w:r>
              <w:rPr>
                <w:b/>
                <w:bCs/>
              </w:rPr>
              <w:t xml:space="preserve">+6.0% to +7.0%</w:t>
            </w:r>
          </w:p>
        </w:tc>
      </w:tr>
      <w:tr>
        <w:tc>
          <w:tcPr/>
          <w:p>
            <w:pPr>
              <w:pStyle w:val="Compact"/>
            </w:pPr>
            <w:r>
              <w:t xml:space="preserve">Capital return</w:t>
            </w:r>
          </w:p>
        </w:tc>
        <w:tc>
          <w:tcPr/>
          <w:p>
            <w:pPr>
              <w:pStyle w:val="Compact"/>
              <w:jc w:val="right"/>
            </w:pPr>
            <w:r>
              <w:rPr>
                <w:b/>
                <w:bCs/>
              </w:rPr>
              <w:t xml:space="preserve">~$3.5B</w:t>
            </w:r>
          </w:p>
        </w:tc>
      </w:tr>
    </w:tbl>
    <w:p>
      <w:pPr>
        <w:pStyle w:val="BodyText"/>
      </w:pPr>
      <w:r>
        <w:t xml:space="preserve">Management’s rule of thumb is approximately</w:t>
      </w:r>
      <w:r>
        <w:t xml:space="preserve"> </w:t>
      </w:r>
      <m:oMath>
        <m:r>
          <m:t>25</m:t>
        </m:r>
        <m:r>
          <m:t>m</m:t>
        </m:r>
        <m:r>
          <m:t>i</m:t>
        </m:r>
        <m:r>
          <m:t>l</m:t>
        </m:r>
        <m:r>
          <m:t>l</m:t>
        </m:r>
        <m:r>
          <m:t>i</m:t>
        </m:r>
        <m:r>
          <m:t>o</m:t>
        </m:r>
        <m:r>
          <m:t>n</m:t>
        </m:r>
        <m:r>
          <m:rPr>
            <m:sty m:val="p"/>
          </m:rPr>
          <m:t>–</m:t>
        </m:r>
      </m:oMath>
      <w:r>
        <w:rPr>
          <w:b/>
          <w:bCs/>
        </w:rPr>
        <w:t xml:space="preserve">30 million of EBITDA per one percentage point of RevPAR</w:t>
      </w:r>
      <w:r>
        <w:t xml:space="preserve">. Thus, even a modest change in the RevPAR outlook can meaningfully alter EBITDA expectations.</w:t>
      </w:r>
    </w:p>
    <w:bookmarkStart w:id="15" w:name="potentially-bullish-outcome"/>
    <w:p>
      <w:pPr>
        <w:pStyle w:val="Heading3"/>
      </w:pPr>
      <w:r>
        <w:t xml:space="preserve">Potentially bullish outcome</w:t>
      </w:r>
    </w:p>
    <w:p>
      <w:pPr>
        <w:pStyle w:val="FirstParagraph"/>
      </w:pPr>
      <w:r>
        <w:t xml:space="preserve">A positive reaction would likely require some combination of:</w:t>
      </w:r>
    </w:p>
    <w:p>
      <w:pPr>
        <w:pStyle w:val="Compact"/>
        <w:numPr>
          <w:ilvl w:val="0"/>
          <w:numId w:val="1006"/>
        </w:numPr>
      </w:pPr>
      <w:r>
        <w:t xml:space="preserve">RevPAR at or above the high end of the +2–3% guide;</w:t>
      </w:r>
    </w:p>
    <w:p>
      <w:pPr>
        <w:pStyle w:val="Compact"/>
        <w:numPr>
          <w:ilvl w:val="0"/>
          <w:numId w:val="1006"/>
        </w:numPr>
      </w:pPr>
      <w:r>
        <w:t xml:space="preserve">Clear evidence that U.S. group and business-transient demand are holding;</w:t>
      </w:r>
    </w:p>
    <w:p>
      <w:pPr>
        <w:pStyle w:val="Compact"/>
        <w:numPr>
          <w:ilvl w:val="0"/>
          <w:numId w:val="1006"/>
        </w:numPr>
      </w:pPr>
      <w:r>
        <w:t xml:space="preserve">Less severe or improving Middle East trends;</w:t>
      </w:r>
    </w:p>
    <w:p>
      <w:pPr>
        <w:pStyle w:val="Compact"/>
        <w:numPr>
          <w:ilvl w:val="0"/>
          <w:numId w:val="1006"/>
        </w:numPr>
      </w:pPr>
      <w:r>
        <w:t xml:space="preserve">Reaffirmation of the full-year outlook with commentary that the range remains conservative;</w:t>
      </w:r>
    </w:p>
    <w:p>
      <w:pPr>
        <w:pStyle w:val="Compact"/>
        <w:numPr>
          <w:ilvl w:val="0"/>
          <w:numId w:val="1006"/>
        </w:numPr>
      </w:pPr>
      <w:r>
        <w:t xml:space="preserve">Continued 6–7% unit-growth confidence; and</w:t>
      </w:r>
    </w:p>
    <w:p>
      <w:pPr>
        <w:pStyle w:val="Compact"/>
        <w:numPr>
          <w:ilvl w:val="0"/>
          <w:numId w:val="1006"/>
        </w:numPr>
      </w:pPr>
      <w:r>
        <w:t xml:space="preserve">Strong buyback execution.</w:t>
      </w:r>
    </w:p>
    <w:bookmarkEnd w:id="15"/>
    <w:bookmarkStart w:id="16" w:name="potentially-bearish-outcome"/>
    <w:p>
      <w:pPr>
        <w:pStyle w:val="Heading3"/>
      </w:pPr>
      <w:r>
        <w:t xml:space="preserve">Potentially bearish outcome</w:t>
      </w:r>
    </w:p>
    <w:p>
      <w:pPr>
        <w:pStyle w:val="FirstParagraph"/>
      </w:pPr>
      <w:r>
        <w:t xml:space="preserve">The downside case would be:</w:t>
      </w:r>
    </w:p>
    <w:p>
      <w:pPr>
        <w:pStyle w:val="Compact"/>
        <w:numPr>
          <w:ilvl w:val="0"/>
          <w:numId w:val="1007"/>
        </w:numPr>
      </w:pPr>
      <w:r>
        <w:t xml:space="preserve">RevPAR only at the low end of the range or below it;</w:t>
      </w:r>
    </w:p>
    <w:p>
      <w:pPr>
        <w:pStyle w:val="Compact"/>
        <w:numPr>
          <w:ilvl w:val="0"/>
          <w:numId w:val="1007"/>
        </w:numPr>
      </w:pPr>
      <w:r>
        <w:t xml:space="preserve">Softer U.S. leisure or corporate demand;</w:t>
      </w:r>
    </w:p>
    <w:p>
      <w:pPr>
        <w:pStyle w:val="Compact"/>
        <w:numPr>
          <w:ilvl w:val="0"/>
          <w:numId w:val="1007"/>
        </w:numPr>
      </w:pPr>
      <w:r>
        <w:t xml:space="preserve">Incremental international disruption beyond the Middle East;</w:t>
      </w:r>
    </w:p>
    <w:p>
      <w:pPr>
        <w:pStyle w:val="Compact"/>
        <w:numPr>
          <w:ilvl w:val="0"/>
          <w:numId w:val="1007"/>
        </w:numPr>
      </w:pPr>
      <w:r>
        <w:t xml:space="preserve">A lower full-year RevPAR or EBITDA framework;</w:t>
      </w:r>
    </w:p>
    <w:p>
      <w:pPr>
        <w:pStyle w:val="Compact"/>
        <w:numPr>
          <w:ilvl w:val="0"/>
          <w:numId w:val="1007"/>
        </w:numPr>
      </w:pPr>
      <w:r>
        <w:t xml:space="preserve">Slippage in expected openings or construction starts; or</w:t>
      </w:r>
    </w:p>
    <w:p>
      <w:pPr>
        <w:pStyle w:val="Compact"/>
        <w:numPr>
          <w:ilvl w:val="0"/>
          <w:numId w:val="1007"/>
        </w:numPr>
      </w:pPr>
      <w:r>
        <w:t xml:space="preserve">Capital returns constrained by leverage, refinancing needs, or a less favorable interest-rate backdrop.</w:t>
      </w:r>
    </w:p>
    <w:bookmarkEnd w:id="16"/>
    <w:bookmarkEnd w:id="17"/>
    <w:bookmarkStart w:id="18" w:name="X121d218facbb78ac139ccb6aa1f8059e838abe7"/>
    <w:p>
      <w:pPr>
        <w:pStyle w:val="Heading2"/>
      </w:pPr>
      <w:r>
        <w:t xml:space="preserve">Capital allocation and balance sheet: a support, but not an immaterial risk</w:t>
      </w:r>
    </w:p>
    <w:p>
      <w:pPr>
        <w:pStyle w:val="FirstParagraph"/>
      </w:pPr>
      <w:r>
        <w:t xml:space="preserve">Hilton returned</w:t>
      </w:r>
      <w:r>
        <w:t xml:space="preserve"> </w:t>
      </w:r>
      <m:oMath>
        <m:r>
          <m:t>860</m:t>
        </m:r>
        <m:r>
          <m:t>m</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t>i</m:t>
        </m:r>
        <m:r>
          <m:t>n</m:t>
        </m:r>
        <m:r>
          <m:t>1</m:t>
        </m:r>
        <m:r>
          <m:t>Q</m:t>
        </m:r>
        <m:r>
          <m:t>a</m:t>
        </m:r>
        <m:r>
          <m:t>n</m:t>
        </m:r>
        <m:r>
          <m:t>d</m:t>
        </m:r>
        <m:r>
          <m:rPr>
            <m:sty m:val="p"/>
          </m:rPr>
          <m:t>*</m:t>
        </m:r>
        <m:r>
          <m:rPr>
            <m:sty m:val="p"/>
          </m:rPr>
          <m:t>*</m:t>
        </m:r>
      </m:oMath>
      <w:r>
        <w:rPr>
          <w:b/>
          <w:bCs/>
        </w:rPr>
        <w:t xml:space="preserve">1.084 billion through April</w:t>
      </w:r>
      <w:r>
        <w:t xml:space="preserve">, mainly through repurchases. It expects approximately</w:t>
      </w:r>
      <w:r>
        <w:t xml:space="preserve"> </w:t>
      </w:r>
      <w:r>
        <w:rPr>
          <w:b/>
          <w:bCs/>
        </w:rPr>
        <w:t xml:space="preserve">$3.5 billion</w:t>
      </w:r>
      <w:r>
        <w:t xml:space="preserve"> </w:t>
      </w:r>
      <w:r>
        <w:t xml:space="preserve">of capital return in 2026.</w:t>
      </w:r>
    </w:p>
    <w:p>
      <w:pPr>
        <w:pStyle w:val="BodyText"/>
      </w:pPr>
      <w:r>
        <w:t xml:space="preserve">At March 31, net debt was approximately</w:t>
      </w:r>
      <w:r>
        <w:t xml:space="preserve"> </w:t>
      </w:r>
      <w:r>
        <w:rPr>
          <w:b/>
          <w:bCs/>
        </w:rPr>
        <w:t xml:space="preserve">$11.8 billion</w:t>
      </w:r>
      <w:r>
        <w:t xml:space="preserve">, or</w:t>
      </w:r>
      <w:r>
        <w:t xml:space="preserve"> </w:t>
      </w:r>
      <w:r>
        <w:rPr>
          <w:b/>
          <w:bCs/>
        </w:rPr>
        <w:t xml:space="preserve">3.1x trailing adjusted EBITDA</w:t>
      </w:r>
      <w:r>
        <w:t xml:space="preserve">. The company had no material debt maturities before April 2027 and reported a weighted-average interest rate of approximately 5.0%.</w:t>
      </w:r>
    </w:p>
    <w:p>
      <w:pPr>
        <w:pStyle w:val="BodyText"/>
      </w:pPr>
      <w:r>
        <w:t xml:space="preserve">The setup remains favorable for equity holders if EBITDA grows and the company can maintain large repurchases. Still, the balance sheet leaves Hilton more sensitive than a net-cash business to sustained higher rates or a meaningful deterioration in lodging demand. Investors should watch repurchases, interest expense, and any refinancing commentary.</w:t>
      </w:r>
    </w:p>
    <w:bookmarkEnd w:id="18"/>
    <w:bookmarkStart w:id="19" w:name="what-matters-most-on-the-call"/>
    <w:p>
      <w:pPr>
        <w:pStyle w:val="Heading2"/>
      </w:pPr>
      <w:r>
        <w:t xml:space="preserve">What matters most on the call</w:t>
      </w:r>
    </w:p>
    <w:p>
      <w:pPr>
        <w:pStyle w:val="Compact"/>
        <w:numPr>
          <w:ilvl w:val="0"/>
          <w:numId w:val="1008"/>
        </w:numPr>
      </w:pPr>
      <w:r>
        <w:rPr>
          <w:b/>
          <w:bCs/>
        </w:rPr>
        <w:t xml:space="preserve">July booking trends and forward demand:</w:t>
      </w:r>
      <w:r>
        <w:t xml:space="preserve"> </w:t>
      </w:r>
      <w:r>
        <w:t xml:space="preserve">Has domestic momentum continued beyond the April visibility management cited last quarter?</w:t>
      </w:r>
    </w:p>
    <w:p>
      <w:pPr>
        <w:pStyle w:val="Compact"/>
        <w:numPr>
          <w:ilvl w:val="0"/>
          <w:numId w:val="1008"/>
        </w:numPr>
      </w:pPr>
      <w:r>
        <w:rPr>
          <w:b/>
          <w:bCs/>
        </w:rPr>
        <w:t xml:space="preserve">U.S. segment detail:</w:t>
      </w:r>
      <w:r>
        <w:t xml:space="preserve"> </w:t>
      </w:r>
      <w:r>
        <w:t xml:space="preserve">Group, business transient, and leisure trends; midweek versus weekend demand.</w:t>
      </w:r>
    </w:p>
    <w:p>
      <w:pPr>
        <w:pStyle w:val="Compact"/>
        <w:numPr>
          <w:ilvl w:val="0"/>
          <w:numId w:val="1008"/>
        </w:numPr>
      </w:pPr>
      <w:r>
        <w:rPr>
          <w:b/>
          <w:bCs/>
        </w:rPr>
        <w:t xml:space="preserve">Middle East recovery:</w:t>
      </w:r>
      <w:r>
        <w:t xml:space="preserve"> </w:t>
      </w:r>
      <w:r>
        <w:t xml:space="preserve">Current RevPAR performance, duration of disruption, and changes to the assumed full-year impact.</w:t>
      </w:r>
    </w:p>
    <w:p>
      <w:pPr>
        <w:pStyle w:val="Compact"/>
        <w:numPr>
          <w:ilvl w:val="0"/>
          <w:numId w:val="1008"/>
        </w:numPr>
      </w:pPr>
      <w:r>
        <w:rPr>
          <w:b/>
          <w:bCs/>
        </w:rPr>
        <w:t xml:space="preserve">Full-year RevPAR guide:</w:t>
      </w:r>
      <w:r>
        <w:t xml:space="preserve"> </w:t>
      </w:r>
      <w:r>
        <w:t xml:space="preserve">Reaffirmation alone may be sufficient; an upward revision would be a material positive.</w:t>
      </w:r>
    </w:p>
    <w:p>
      <w:pPr>
        <w:pStyle w:val="Compact"/>
        <w:numPr>
          <w:ilvl w:val="0"/>
          <w:numId w:val="1008"/>
        </w:numPr>
      </w:pPr>
      <w:r>
        <w:rPr>
          <w:b/>
          <w:bCs/>
        </w:rPr>
        <w:t xml:space="preserve">Net unit growth and pipeline:</w:t>
      </w:r>
      <w:r>
        <w:t xml:space="preserve"> </w:t>
      </w:r>
      <w:r>
        <w:t xml:space="preserve">Evidence that 6–7% growth remains intact despite geopolitical uncertainty.</w:t>
      </w:r>
    </w:p>
    <w:p>
      <w:pPr>
        <w:pStyle w:val="Compact"/>
        <w:numPr>
          <w:ilvl w:val="0"/>
          <w:numId w:val="1008"/>
        </w:numPr>
      </w:pPr>
      <w:r>
        <w:rPr>
          <w:b/>
          <w:bCs/>
        </w:rPr>
        <w:t xml:space="preserve">Capital return:</w:t>
      </w:r>
      <w:r>
        <w:t xml:space="preserve"> </w:t>
      </w:r>
      <w:r>
        <w:t xml:space="preserve">Pace of repurchases relative to the $3.5 billion target.</w:t>
      </w:r>
    </w:p>
    <w:p>
      <w:pPr>
        <w:pStyle w:val="Compact"/>
        <w:numPr>
          <w:ilvl w:val="0"/>
          <w:numId w:val="1008"/>
        </w:numPr>
      </w:pPr>
      <w:r>
        <w:rPr>
          <w:b/>
          <w:bCs/>
        </w:rPr>
        <w:t xml:space="preserve">Distribution and AI:</w:t>
      </w:r>
      <w:r>
        <w:t xml:space="preserve"> </w:t>
      </w:r>
      <w:r>
        <w:t xml:space="preserve">Progress in direct booking, the Hilton AI Planner, and partnerships with AI/search platforms—strategically important, though unlikely to drive near-term quarterly estimates.</w:t>
      </w:r>
    </w:p>
    <w:bookmarkEnd w:id="19"/>
    <w:bookmarkStart w:id="20" w:name="bottom-line"/>
    <w:p>
      <w:pPr>
        <w:pStyle w:val="Heading2"/>
      </w:pPr>
      <w:r>
        <w:t xml:space="preserve">Bottom line</w:t>
      </w:r>
    </w:p>
    <w:p>
      <w:pPr>
        <w:pStyle w:val="FirstParagraph"/>
      </w:pPr>
      <w:r>
        <w:t xml:space="preserve">Hilton’s 2Q print is principally a test of whether</w:t>
      </w:r>
      <w:r>
        <w:t xml:space="preserve"> </w:t>
      </w:r>
      <w:r>
        <w:rPr>
          <w:b/>
          <w:bCs/>
        </w:rPr>
        <w:t xml:space="preserve">domestic lodging fundamentals are as strong as management suggested in April</w:t>
      </w:r>
      <w:r>
        <w:t xml:space="preserve">. The company has already told investors to expect a sizable Middle East-related headwind, so a reported result around the midpoint of guidance could still be viewed constructively if the U.S. trend, group bookings, development pipeline, and capital-return trajectory remain intact.</w:t>
      </w:r>
    </w:p>
    <w:p>
      <w:pPr>
        <w:pStyle w:val="BodyText"/>
      </w:pPr>
      <w:r>
        <w:t xml:space="preserve">The most favorable setup is a quarter in which Hilton meets or modestly exceeds its guided EBITDA range, communicates that Middle East disruption is stabilizing, and preserves—or raises—its</w:t>
      </w:r>
      <w:r>
        <w:t xml:space="preserve"> </w:t>
      </w:r>
      <w:r>
        <w:rPr>
          <w:b/>
          <w:bCs/>
        </w:rPr>
        <w:t xml:space="preserve">2–3% full-year RevPAR</w:t>
      </w:r>
      <w:r>
        <w:t xml:space="preserve">,</w:t>
      </w:r>
      <w:r>
        <w:t xml:space="preserve"> </w:t>
      </w:r>
      <w:r>
        <w:rPr>
          <w:b/>
          <w:bCs/>
        </w:rPr>
        <w:t xml:space="preserve">6–7% unit-growth</w:t>
      </w:r>
      <w:r>
        <w:t xml:space="preserve">, and</w:t>
      </w:r>
      <w:r>
        <w:t xml:space="preserve"> </w:t>
      </w:r>
      <w:r>
        <w:rPr>
          <w:b/>
          <w:bCs/>
        </w:rPr>
        <w:t xml:space="preserve">$3.5 billion capital-return</w:t>
      </w:r>
      <w:r>
        <w:t xml:space="preserve"> </w:t>
      </w:r>
      <w:r>
        <w:t xml:space="preserve">targets.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2026-07-28T00:32:42Z</dcterms:created>
  <dcterms:modified xsi:type="dcterms:W3CDTF">2026-07-28T00:32:42Z</dcterms:modified>
</cp:coreProperties>
</file>

<file path=docProps/custom.xml><?xml version="1.0" encoding="utf-8"?>
<Properties xmlns="http://schemas.openxmlformats.org/officeDocument/2006/custom-properties" xmlns:vt="http://schemas.openxmlformats.org/officeDocument/2006/docPropsVTypes"/>
</file>