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lt-earnings-predictions--2026-07-28"/>
    <w:p>
      <w:pPr>
        <w:pStyle w:val="Heading1"/>
      </w:pPr>
      <w:r>
        <w:t xml:space="preserve">HLT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System-wide RevPAR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~+3.0% vs. cons +3.38%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~$1,050M vs. cons $1,039M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- Operating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~$2.30 vs. cons $2.28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RevPAR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~2-3% vs. cons +2.79%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~$4,020-4,060M vs. cons $4,054M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Diluted EPS - Operating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~$8.79-8.91 vs. cons $8.98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HLT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cuts FY EPS estimates as guide range (</w:t>
            </w:r>
            <m:oMath>
              <m:r>
                <m:t>8.79</m:t>
              </m:r>
              <m:r>
                <m:rPr>
                  <m:sty m:val="p"/>
                </m:rPr>
                <m:t>−</m:t>
              </m:r>
              <m:r>
                <m:t>8.91</m:t>
              </m:r>
              <m:r>
                <m:rPr>
                  <m:sty m:val="p"/>
                </m:rPr>
                <m:t>)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s</m:t>
              </m:r>
              <m:r>
                <m:t>b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(</m:t>
              </m:r>
            </m:oMath>
            <w:r>
              <w:t xml:space="preserve">8.98); implicit H2 EBITDA cut of ~$25M drives continued underperformance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2026-07-30T17:42:14Z</dcterms:created>
  <dcterms:modified xsi:type="dcterms:W3CDTF">2026-07-30T17:42:14Z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