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Hilton Worldwide Holdings (HLT) — Q2 2026 Earnings Preview</w:t>
      </w:r>
    </w:p>
    <w:p>
      <w:r>
        <w:rPr>
          <w:rFonts w:ascii="Calibri" w:hAnsi="Calibri"/>
          <w:b/>
          <w:color w:val="525866"/>
          <w:sz w:val="22"/>
        </w:rPr>
        <w:t xml:space="preserve">Prepared: </w:t>
      </w:r>
      <w:r>
        <w:rPr>
          <w:rFonts w:ascii="Calibri" w:hAnsi="Calibri"/>
          <w:color w:val="525866"/>
          <w:sz w:val="22"/>
        </w:rPr>
        <w:t xml:space="preserve">July 27, 2026     </w:t>
      </w:r>
      <w:r>
        <w:rPr>
          <w:rFonts w:ascii="Calibri" w:hAnsi="Calibri"/>
          <w:b/>
          <w:color w:val="525866"/>
          <w:sz w:val="22"/>
        </w:rPr>
        <w:t xml:space="preserve">Upcoming Earnings: </w:t>
      </w:r>
      <w:r>
        <w:rPr>
          <w:rFonts w:ascii="Calibri" w:hAnsi="Calibri"/>
          <w:color w:val="525866"/>
          <w:sz w:val="22"/>
        </w:rPr>
        <w:t xml:space="preserve">TBD (Q2 2026 — late July / early August 2026)     </w:t>
      </w:r>
      <w:r>
        <w:rPr>
          <w:rFonts w:ascii="Calibri" w:hAnsi="Calibri"/>
          <w:b/>
          <w:color w:val="525866"/>
          <w:sz w:val="22"/>
        </w:rPr>
        <w:t xml:space="preserve">Last Reported: </w:t>
      </w:r>
      <w:r>
        <w:rPr>
          <w:rFonts w:ascii="Calibri" w:hAnsi="Calibri"/>
          <w:color w:val="525866"/>
          <w:sz w:val="22"/>
        </w:rPr>
        <w:t>Q1 2026 (April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mixed — consensus is a manageable bar given HLT’s track record of beats, but the </w:t>
      </w:r>
      <w:r>
        <w:rPr>
          <w:rFonts w:ascii="Calibri" w:hAnsi="Calibri"/>
          <w:b/>
          <w:color w:val="525866"/>
          <w:sz w:val="22"/>
        </w:rPr>
        <w:t>Middle East conflict</w:t>
      </w:r>
      <w:r>
        <w:rPr>
          <w:rFonts w:ascii="Calibri" w:hAnsi="Calibri"/>
          <w:color w:val="525866"/>
          <w:sz w:val="22"/>
        </w:rPr>
        <w:t xml:space="preserve"> is the single biggest swing factor, with management guiding ~1.5 points of system-wide RevPAR drag in Q2 specifically. The stock has underperformed MAR since last earnings, suggesting the market is pricing in some caution, but peer data from WH’s Q2 print and MAR’s Q1 commentary both point to a resilient U.S. demand backdrop that could allow HLT to beat on the core business even if the Middle East remains a headwind.</w:t>
      </w:r>
    </w:p>
    <w:p>
      <w:r>
        <w:rPr>
          <w:rFonts w:ascii="Calibri" w:hAnsi="Calibri"/>
          <w:color w:val="525866"/>
          <w:sz w:val="22"/>
        </w:rPr>
        <w:t xml:space="preserve">Heading into Q2 2026, consensus sits at the high end of management’s own guidance — system-wide RevPAR growth of ~3.4% vs. the guided 2–3% range, and adj. EBITDA of ~$1,039M vs. the $1,015M–$1,035M guidance range — representing a manageable bar given HLT’s eight-quarter consecutive EBITDA beat streak. Management’s tone on the April 28 Q1 call was constructive: full-year RevPAR guidance was raised to 2–3% (from 1–2%) and full-year adj. EPS guidance was lifted to $8.79–$8.91, but management explicitly flagged Q2 as the </w:t>
      </w:r>
      <w:r>
        <w:rPr>
          <w:rFonts w:ascii="Calibri" w:hAnsi="Calibri"/>
          <w:b/>
          <w:color w:val="525866"/>
          <w:sz w:val="22"/>
        </w:rPr>
        <w:t>peak Middle East headwind quarter</w:t>
      </w:r>
      <w:r>
        <w:rPr>
          <w:rFonts w:ascii="Calibri" w:hAnsi="Calibri"/>
          <w:color w:val="525866"/>
          <w:sz w:val="22"/>
        </w:rPr>
        <w:t xml:space="preserve"> (~1.5 points of system-wide RevPAR drag), with several one-time timing items also weighing on the Q2 year-over-year comparison. Estimate revisions have been modestly positive since the Q1 print — Q2 adj. EBITDA consensus has drifted up ~$10M from the post-print baseline, suggesting the street is incrementally more constructive, likely reflecting positive peer read-throughs from MAR’s Q1 beat and WH’s Q2 beat. On the stock, HLT has returned only ~+2.3% since the April 28 earnings date vs. MAR +6.9% and SPY +3.8%, underperforming peers and suggesting the market has not fully priced in a beat — creating a potentially attractive setup if Q2 results clear the Middle East overhang. The key wildcard is the </w:t>
      </w:r>
      <w:r>
        <w:rPr>
          <w:rFonts w:ascii="Calibri" w:hAnsi="Calibri"/>
          <w:b/>
          <w:color w:val="525866"/>
          <w:sz w:val="22"/>
        </w:rPr>
        <w:t>pace and trajectory of Middle East recovery</w:t>
      </w:r>
      <w:r>
        <w:rPr>
          <w:rFonts w:ascii="Calibri" w:hAnsi="Calibri"/>
          <w:color w:val="525866"/>
          <w:sz w:val="22"/>
        </w:rPr>
        <w:t>: management guided mid-to-high teens RevPAR decline for the region in 2026 with Q2 as the worst quarter, and any sign of faster-than-expected stabilization could be a meaningful positive surprise for both the Q2 print and the full-year outlook.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System-wide RevPAR growth</w:t>
      </w:r>
      <w:r>
        <w:rPr>
          <w:rFonts w:ascii="Calibri" w:hAnsi="Calibri"/>
          <w:color w:val="525866"/>
          <w:sz w:val="22"/>
        </w:rPr>
        <w:t xml:space="preserve"> is the primary swing factor — consensus at ~3.4% sits at the high end of management’s 2–3% Q2 guidance range, leaving room for a beat if U.S. demand holds and Middle East drag is contained. </w:t>
      </w:r>
      <w:r>
        <w:rPr>
          <w:rFonts w:ascii="Calibri" w:hAnsi="Calibri"/>
          <w:b/>
          <w:color w:val="525866"/>
          <w:sz w:val="22"/>
        </w:rPr>
        <w:t>Adj. EBITDA</w:t>
      </w:r>
      <w:r>
        <w:rPr>
          <w:rFonts w:ascii="Calibri" w:hAnsi="Calibri"/>
          <w:color w:val="525866"/>
          <w:sz w:val="22"/>
        </w:rPr>
        <w:t xml:space="preserve"> is the financial scoreboard; HLT has beaten EBITDA consensus in each of the last 8 quarters.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System-wide RevPAR ($)</w:t>
            </w:r>
          </w:p>
        </w:tc>
        <w:tc>
          <w:tcPr>
            <w:tcW w:type="dxa" w:w="1234"/>
          </w:tcPr>
          <w:p>
            <w:r>
              <w:rPr>
                <w:rFonts w:ascii="Calibri" w:hAnsi="Calibri"/>
                <w:sz w:val="22"/>
              </w:rPr>
              <w:t>$105.97</w:t>
            </w:r>
          </w:p>
        </w:tc>
        <w:tc>
          <w:tcPr>
            <w:tcW w:type="dxa" w:w="1234"/>
          </w:tcPr>
          <w:p>
            <w:r>
              <w:rPr>
                <w:rFonts w:ascii="Calibri" w:hAnsi="Calibri"/>
                <w:sz w:val="22"/>
              </w:rPr>
              <w:t>$121.79</w:t>
            </w:r>
          </w:p>
        </w:tc>
        <w:tc>
          <w:tcPr>
            <w:tcW w:type="dxa" w:w="1234"/>
          </w:tcPr>
          <w:p>
            <w:r>
              <w:rPr>
                <w:rFonts w:ascii="Calibri" w:hAnsi="Calibri"/>
                <w:sz w:val="22"/>
              </w:rPr>
              <w:t>$124.64</w:t>
            </w:r>
          </w:p>
        </w:tc>
        <w:tc>
          <w:tcPr>
            <w:tcW w:type="dxa" w:w="1234"/>
          </w:tcPr>
          <w:p>
            <w:r>
              <w:rPr>
                <w:rFonts w:ascii="Calibri" w:hAnsi="Calibri"/>
                <w:sz w:val="22"/>
              </w:rPr>
              <w:t>+2.3%</w:t>
            </w:r>
          </w:p>
        </w:tc>
        <w:tc>
          <w:tcPr>
            <w:tcW w:type="dxa" w:w="1234"/>
          </w:tcPr>
          <w:p>
            <w:r>
              <w:rPr>
                <w:rFonts w:ascii="Calibri" w:hAnsi="Calibri"/>
                <w:sz w:val="22"/>
              </w:rPr>
              <w:t>N/A (growth guided 2–3%)</w:t>
            </w:r>
          </w:p>
        </w:tc>
        <w:tc>
          <w:tcPr>
            <w:tcW w:type="dxa" w:w="1234"/>
          </w:tcPr>
          <w:p>
            <w:r>
              <w:rPr>
                <w:rFonts w:ascii="Calibri" w:hAnsi="Calibri"/>
                <w:sz w:val="22"/>
              </w:rPr>
              <w:t>At high end of range</w:t>
            </w:r>
          </w:p>
        </w:tc>
      </w:tr>
      <w:tr>
        <w:tc>
          <w:tcPr>
            <w:tcW w:type="dxa" w:w="1234"/>
          </w:tcPr>
          <w:p>
            <w:r>
              <w:rPr>
                <w:rFonts w:ascii="Calibri" w:hAnsi="Calibri"/>
                <w:sz w:val="22"/>
              </w:rPr>
              <w:t>System-wide RevPAR Growth (%)</w:t>
            </w:r>
          </w:p>
        </w:tc>
        <w:tc>
          <w:tcPr>
            <w:tcW w:type="dxa" w:w="1234"/>
          </w:tcPr>
          <w:p>
            <w:r>
              <w:rPr>
                <w:rFonts w:ascii="Calibri" w:hAnsi="Calibri"/>
                <w:sz w:val="22"/>
              </w:rPr>
              <w:t>+3.6%</w:t>
            </w:r>
          </w:p>
        </w:tc>
        <w:tc>
          <w:tcPr>
            <w:tcW w:type="dxa" w:w="1234"/>
          </w:tcPr>
          <w:p>
            <w:r>
              <w:rPr>
                <w:rFonts w:ascii="Calibri" w:hAnsi="Calibri"/>
                <w:sz w:val="22"/>
              </w:rPr>
              <w:t>-0.5%</w:t>
            </w:r>
          </w:p>
        </w:tc>
        <w:tc>
          <w:tcPr>
            <w:tcW w:type="dxa" w:w="1234"/>
          </w:tcPr>
          <w:p>
            <w:r>
              <w:rPr>
                <w:rFonts w:ascii="Calibri" w:hAnsi="Calibri"/>
                <w:sz w:val="22"/>
              </w:rPr>
              <w:t>+3.4%</w:t>
            </w:r>
          </w:p>
        </w:tc>
        <w:tc>
          <w:tcPr>
            <w:tcW w:type="dxa" w:w="1234"/>
          </w:tcPr>
          <w:p>
            <w:r>
              <w:rPr>
                <w:rFonts w:ascii="Calibri" w:hAnsi="Calibri"/>
                <w:sz w:val="22"/>
              </w:rPr>
              <w:t>+390bps YoY</w:t>
            </w:r>
          </w:p>
        </w:tc>
        <w:tc>
          <w:tcPr>
            <w:tcW w:type="dxa" w:w="1234"/>
          </w:tcPr>
          <w:p>
            <w:r>
              <w:rPr>
                <w:rFonts w:ascii="Calibri" w:hAnsi="Calibri"/>
                <w:sz w:val="22"/>
              </w:rPr>
              <w:t>2% to 3%</w:t>
            </w:r>
          </w:p>
        </w:tc>
        <w:tc>
          <w:tcPr>
            <w:tcW w:type="dxa" w:w="1234"/>
          </w:tcPr>
          <w:p>
            <w:r>
              <w:rPr>
                <w:rFonts w:ascii="Calibri" w:hAnsi="Calibri"/>
                <w:sz w:val="22"/>
              </w:rPr>
              <w:t>+40bps above midpoint</w:t>
            </w:r>
          </w:p>
        </w:tc>
      </w:tr>
      <w:tr>
        <w:tc>
          <w:tcPr>
            <w:tcW w:type="dxa" w:w="1234"/>
          </w:tcPr>
          <w:p>
            <w:r>
              <w:rPr>
                <w:rFonts w:ascii="Calibri" w:hAnsi="Calibri"/>
                <w:sz w:val="22"/>
              </w:rPr>
              <w:t>System-wide ADR ($)</w:t>
            </w:r>
          </w:p>
        </w:tc>
        <w:tc>
          <w:tcPr>
            <w:tcW w:type="dxa" w:w="1234"/>
          </w:tcPr>
          <w:p>
            <w:r>
              <w:rPr>
                <w:rFonts w:ascii="Calibri" w:hAnsi="Calibri"/>
                <w:sz w:val="22"/>
              </w:rPr>
              <w:t>$157.14</w:t>
            </w:r>
          </w:p>
        </w:tc>
        <w:tc>
          <w:tcPr>
            <w:tcW w:type="dxa" w:w="1234"/>
          </w:tcPr>
          <w:p>
            <w:r>
              <w:rPr>
                <w:rFonts w:ascii="Calibri" w:hAnsi="Calibri"/>
                <w:sz w:val="22"/>
              </w:rPr>
              <w:t>$163.78</w:t>
            </w:r>
          </w:p>
        </w:tc>
        <w:tc>
          <w:tcPr>
            <w:tcW w:type="dxa" w:w="1234"/>
          </w:tcPr>
          <w:p>
            <w:r>
              <w:rPr>
                <w:rFonts w:ascii="Calibri" w:hAnsi="Calibri"/>
                <w:sz w:val="22"/>
              </w:rPr>
              <w:t>$168.21</w:t>
            </w:r>
          </w:p>
        </w:tc>
        <w:tc>
          <w:tcPr>
            <w:tcW w:type="dxa" w:w="1234"/>
          </w:tcPr>
          <w:p>
            <w:r>
              <w:rPr>
                <w:rFonts w:ascii="Calibri" w:hAnsi="Calibri"/>
                <w:sz w:val="22"/>
              </w:rPr>
              <w:t>+2.7%</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System-wide Occupancy (%)</w:t>
            </w:r>
          </w:p>
        </w:tc>
        <w:tc>
          <w:tcPr>
            <w:tcW w:type="dxa" w:w="1234"/>
          </w:tcPr>
          <w:p>
            <w:r>
              <w:rPr>
                <w:rFonts w:ascii="Calibri" w:hAnsi="Calibri"/>
                <w:sz w:val="22"/>
              </w:rPr>
              <w:t>67.4%</w:t>
            </w:r>
          </w:p>
        </w:tc>
        <w:tc>
          <w:tcPr>
            <w:tcW w:type="dxa" w:w="1234"/>
          </w:tcPr>
          <w:p>
            <w:r>
              <w:rPr>
                <w:rFonts w:ascii="Calibri" w:hAnsi="Calibri"/>
                <w:sz w:val="22"/>
              </w:rPr>
              <w:t>74.4%</w:t>
            </w:r>
          </w:p>
        </w:tc>
        <w:tc>
          <w:tcPr>
            <w:tcW w:type="dxa" w:w="1234"/>
          </w:tcPr>
          <w:p>
            <w:r>
              <w:rPr>
                <w:rFonts w:ascii="Calibri" w:hAnsi="Calibri"/>
                <w:sz w:val="22"/>
              </w:rPr>
              <w:t>75.0%</w:t>
            </w:r>
          </w:p>
        </w:tc>
        <w:tc>
          <w:tcPr>
            <w:tcW w:type="dxa" w:w="1234"/>
          </w:tcPr>
          <w:p>
            <w:r>
              <w:rPr>
                <w:rFonts w:ascii="Calibri" w:hAnsi="Calibri"/>
                <w:sz w:val="22"/>
              </w:rPr>
              <w:t>+60bps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$901M</w:t>
            </w:r>
          </w:p>
        </w:tc>
        <w:tc>
          <w:tcPr>
            <w:tcW w:type="dxa" w:w="1234"/>
          </w:tcPr>
          <w:p>
            <w:r>
              <w:rPr>
                <w:rFonts w:ascii="Calibri" w:hAnsi="Calibri"/>
                <w:sz w:val="22"/>
              </w:rPr>
              <w:t>$1,008M</w:t>
            </w:r>
          </w:p>
        </w:tc>
        <w:tc>
          <w:tcPr>
            <w:tcW w:type="dxa" w:w="1234"/>
          </w:tcPr>
          <w:p>
            <w:r>
              <w:rPr>
                <w:rFonts w:ascii="Calibri" w:hAnsi="Calibri"/>
                <w:sz w:val="22"/>
              </w:rPr>
              <w:t>$1,039M</w:t>
            </w:r>
          </w:p>
        </w:tc>
        <w:tc>
          <w:tcPr>
            <w:tcW w:type="dxa" w:w="1234"/>
          </w:tcPr>
          <w:p>
            <w:r>
              <w:rPr>
                <w:rFonts w:ascii="Calibri" w:hAnsi="Calibri"/>
                <w:sz w:val="22"/>
              </w:rPr>
              <w:t>+3.1%</w:t>
            </w:r>
          </w:p>
        </w:tc>
        <w:tc>
          <w:tcPr>
            <w:tcW w:type="dxa" w:w="1234"/>
          </w:tcPr>
          <w:p>
            <w:r>
              <w:rPr>
                <w:rFonts w:ascii="Calibri" w:hAnsi="Calibri"/>
                <w:sz w:val="22"/>
              </w:rPr>
              <w:t>$1,015M–$1,035M</w:t>
            </w:r>
          </w:p>
        </w:tc>
        <w:tc>
          <w:tcPr>
            <w:tcW w:type="dxa" w:w="1234"/>
          </w:tcPr>
          <w:p>
            <w:r>
              <w:rPr>
                <w:rFonts w:ascii="Calibri" w:hAnsi="Calibri"/>
                <w:sz w:val="22"/>
              </w:rPr>
              <w:t>+$4M above midpoint</w:t>
            </w:r>
          </w:p>
        </w:tc>
      </w:tr>
      <w:tr>
        <w:tc>
          <w:tcPr>
            <w:tcW w:type="dxa" w:w="1234"/>
          </w:tcPr>
          <w:p>
            <w:r>
              <w:rPr>
                <w:rFonts w:ascii="Calibri" w:hAnsi="Calibri"/>
                <w:sz w:val="22"/>
              </w:rPr>
              <w:t>Diluted EPS — Operating ($)</w:t>
            </w:r>
          </w:p>
        </w:tc>
        <w:tc>
          <w:tcPr>
            <w:tcW w:type="dxa" w:w="1234"/>
          </w:tcPr>
          <w:p>
            <w:r>
              <w:rPr>
                <w:rFonts w:ascii="Calibri" w:hAnsi="Calibri"/>
                <w:sz w:val="22"/>
              </w:rPr>
              <w:t>$2.01</w:t>
            </w:r>
          </w:p>
        </w:tc>
        <w:tc>
          <w:tcPr>
            <w:tcW w:type="dxa" w:w="1234"/>
          </w:tcPr>
          <w:p>
            <w:r>
              <w:rPr>
                <w:rFonts w:ascii="Calibri" w:hAnsi="Calibri"/>
                <w:sz w:val="22"/>
              </w:rPr>
              <w:t>$2.20</w:t>
            </w:r>
          </w:p>
        </w:tc>
        <w:tc>
          <w:tcPr>
            <w:tcW w:type="dxa" w:w="1234"/>
          </w:tcPr>
          <w:p>
            <w:r>
              <w:rPr>
                <w:rFonts w:ascii="Calibri" w:hAnsi="Calibri"/>
                <w:sz w:val="22"/>
              </w:rPr>
              <w:t>$2.28</w:t>
            </w:r>
          </w:p>
        </w:tc>
        <w:tc>
          <w:tcPr>
            <w:tcW w:type="dxa" w:w="1234"/>
          </w:tcPr>
          <w:p>
            <w:r>
              <w:rPr>
                <w:rFonts w:ascii="Calibri" w:hAnsi="Calibri"/>
                <w:sz w:val="22"/>
              </w:rPr>
              <w:t>+3.6%</w:t>
            </w:r>
          </w:p>
        </w:tc>
        <w:tc>
          <w:tcPr>
            <w:tcW w:type="dxa" w:w="1234"/>
          </w:tcPr>
          <w:p>
            <w:r>
              <w:rPr>
                <w:rFonts w:ascii="Calibri" w:hAnsi="Calibri"/>
                <w:sz w:val="22"/>
              </w:rPr>
              <w:t>$2.18–$2.24</w:t>
            </w:r>
          </w:p>
        </w:tc>
        <w:tc>
          <w:tcPr>
            <w:tcW w:type="dxa" w:w="1234"/>
          </w:tcPr>
          <w:p>
            <w:r>
              <w:rPr>
                <w:rFonts w:ascii="Calibri" w:hAnsi="Calibri"/>
                <w:sz w:val="22"/>
              </w:rPr>
              <w:t>+$0.07 above midpoint</w:t>
            </w:r>
          </w:p>
        </w:tc>
      </w:tr>
      <w:tr>
        <w:tc>
          <w:tcPr>
            <w:tcW w:type="dxa" w:w="1234"/>
          </w:tcPr>
          <w:p>
            <w:r>
              <w:rPr>
                <w:rFonts w:ascii="Calibri" w:hAnsi="Calibri"/>
                <w:sz w:val="22"/>
              </w:rPr>
              <w:t>Revenue ex. Cost Reimbursements ($M)</w:t>
            </w:r>
          </w:p>
        </w:tc>
        <w:tc>
          <w:tcPr>
            <w:tcW w:type="dxa" w:w="1234"/>
          </w:tcPr>
          <w:p>
            <w:r>
              <w:rPr>
                <w:rFonts w:ascii="Calibri" w:hAnsi="Calibri"/>
                <w:sz w:val="22"/>
              </w:rPr>
              <w:t>$1,182M</w:t>
            </w:r>
          </w:p>
        </w:tc>
        <w:tc>
          <w:tcPr>
            <w:tcW w:type="dxa" w:w="1234"/>
          </w:tcPr>
          <w:p>
            <w:r>
              <w:rPr>
                <w:rFonts w:ascii="Calibri" w:hAnsi="Calibri"/>
                <w:sz w:val="22"/>
              </w:rPr>
              <w:t>$1,326M</w:t>
            </w:r>
          </w:p>
        </w:tc>
        <w:tc>
          <w:tcPr>
            <w:tcW w:type="dxa" w:w="1234"/>
          </w:tcPr>
          <w:p>
            <w:r>
              <w:rPr>
                <w:rFonts w:ascii="Calibri" w:hAnsi="Calibri"/>
                <w:sz w:val="22"/>
              </w:rPr>
              <w:t>$1,390M</w:t>
            </w:r>
          </w:p>
        </w:tc>
        <w:tc>
          <w:tcPr>
            <w:tcW w:type="dxa" w:w="1234"/>
          </w:tcPr>
          <w:p>
            <w:r>
              <w:rPr>
                <w:rFonts w:ascii="Calibri" w:hAnsi="Calibri"/>
                <w:sz w:val="22"/>
              </w:rPr>
              <w:t>+4.8%</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Franchise &amp; Licensing Fees ($M)</w:t>
            </w:r>
          </w:p>
        </w:tc>
        <w:tc>
          <w:tcPr>
            <w:tcW w:type="dxa" w:w="1234"/>
          </w:tcPr>
          <w:p>
            <w:r>
              <w:rPr>
                <w:rFonts w:ascii="Calibri" w:hAnsi="Calibri"/>
                <w:sz w:val="22"/>
              </w:rPr>
              <w:t>$696M</w:t>
            </w:r>
          </w:p>
        </w:tc>
        <w:tc>
          <w:tcPr>
            <w:tcW w:type="dxa" w:w="1234"/>
          </w:tcPr>
          <w:p>
            <w:r>
              <w:rPr>
                <w:rFonts w:ascii="Calibri" w:hAnsi="Calibri"/>
                <w:sz w:val="22"/>
              </w:rPr>
              <w:t>$745M</w:t>
            </w:r>
          </w:p>
        </w:tc>
        <w:tc>
          <w:tcPr>
            <w:tcW w:type="dxa" w:w="1234"/>
          </w:tcPr>
          <w:p>
            <w:r>
              <w:rPr>
                <w:rFonts w:ascii="Calibri" w:hAnsi="Calibri"/>
                <w:sz w:val="22"/>
              </w:rPr>
              <w:t>$806M</w:t>
            </w:r>
          </w:p>
        </w:tc>
        <w:tc>
          <w:tcPr>
            <w:tcW w:type="dxa" w:w="1234"/>
          </w:tcPr>
          <w:p>
            <w:r>
              <w:rPr>
                <w:rFonts w:ascii="Calibri" w:hAnsi="Calibri"/>
                <w:sz w:val="22"/>
              </w:rPr>
              <w:t>+8.2%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Rooms (#)</w:t>
            </w:r>
          </w:p>
        </w:tc>
        <w:tc>
          <w:tcPr>
            <w:tcW w:type="dxa" w:w="1234"/>
          </w:tcPr>
          <w:p>
            <w:r>
              <w:rPr>
                <w:rFonts w:ascii="Calibri" w:hAnsi="Calibri"/>
                <w:sz w:val="22"/>
              </w:rPr>
              <w:t>1,362,280</w:t>
            </w:r>
          </w:p>
        </w:tc>
        <w:tc>
          <w:tcPr>
            <w:tcW w:type="dxa" w:w="1234"/>
          </w:tcPr>
          <w:p>
            <w:r>
              <w:rPr>
                <w:rFonts w:ascii="Calibri" w:hAnsi="Calibri"/>
                <w:sz w:val="22"/>
              </w:rPr>
              <w:t>1,304,880</w:t>
            </w:r>
          </w:p>
        </w:tc>
        <w:tc>
          <w:tcPr>
            <w:tcW w:type="dxa" w:w="1234"/>
          </w:tcPr>
          <w:p>
            <w:r>
              <w:rPr>
                <w:rFonts w:ascii="Calibri" w:hAnsi="Calibri"/>
                <w:sz w:val="22"/>
              </w:rPr>
              <w:t>1,388,380</w:t>
            </w:r>
          </w:p>
        </w:tc>
        <w:tc>
          <w:tcPr>
            <w:tcW w:type="dxa" w:w="1234"/>
          </w:tcPr>
          <w:p>
            <w:r>
              <w:rPr>
                <w:rFonts w:ascii="Calibri" w:hAnsi="Calibri"/>
                <w:sz w:val="22"/>
              </w:rPr>
              <w:t>+6.4%</w:t>
            </w:r>
          </w:p>
        </w:tc>
        <w:tc>
          <w:tcPr>
            <w:tcW w:type="dxa" w:w="1234"/>
          </w:tcPr>
          <w:p>
            <w:r>
              <w:rPr>
                <w:rFonts w:ascii="Calibri" w:hAnsi="Calibri"/>
                <w:sz w:val="22"/>
              </w:rPr>
              <w:t>6–7% NUG</w:t>
            </w:r>
          </w:p>
        </w:tc>
        <w:tc>
          <w:tcPr>
            <w:tcW w:type="dxa" w:w="1234"/>
          </w:tcPr>
          <w:p>
            <w:r>
              <w:rPr>
                <w:rFonts w:ascii="Calibri" w:hAnsi="Calibri"/>
                <w:sz w:val="22"/>
              </w:rPr>
              <w:t>In line</w:t>
            </w:r>
          </w:p>
        </w:tc>
      </w:tr>
    </w:tbl>
    <w:p>
      <w:r>
        <w:rPr>
          <w:rFonts w:ascii="Calibri" w:hAnsi="Calibri"/>
          <w:i/>
          <w:color w:val="525866"/>
          <w:sz w:val="22"/>
        </w:rPr>
        <w:t>Source: Visible Alpha consensus and actuals. All consensus figures as of July 27, 2026. HLT has beaten adj. EBITDA consensus in each of the last 8 quarters, with beats ranging from $8M to $47M. Franchise &amp; licensing fees are a key non-RevPAR revenue driver that has consistently outperformed.</w:t>
      </w:r>
    </w:p>
    <w:p>
      <w:pPr>
        <w:pStyle w:val="Heading3"/>
      </w:pPr>
      <w:r>
        <w:rPr>
          <w:rFonts w:ascii="Calibri" w:hAnsi="Calibri"/>
          <w:b/>
          <w:color w:val="3B4259"/>
          <w:sz w:val="24"/>
        </w:rPr>
        <w:t>Table 2 — Beat / Miss History (Last 8 Quarters)</w:t>
      </w:r>
    </w:p>
    <w:p>
      <w:pPr>
        <w:pStyle w:val="Heading4"/>
      </w:pPr>
      <w:r>
        <w:rPr>
          <w:rFonts w:ascii="Calibri" w:hAnsi="Calibri"/>
          <w:b/>
          <w:color w:val="3B4259"/>
          <w:sz w:val="22"/>
        </w:rPr>
        <w:t>Top KPI #1: System-wide RevPAR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+3.5%</w:t>
            </w:r>
          </w:p>
        </w:tc>
        <w:tc>
          <w:tcPr>
            <w:tcW w:type="dxa" w:w="1728"/>
          </w:tcPr>
          <w:p>
            <w:r>
              <w:rPr>
                <w:rFonts w:ascii="Calibri" w:hAnsi="Calibri"/>
                <w:sz w:val="22"/>
              </w:rPr>
              <w:t>+3.2%</w:t>
            </w:r>
          </w:p>
        </w:tc>
        <w:tc>
          <w:tcPr>
            <w:tcW w:type="dxa" w:w="1728"/>
          </w:tcPr>
          <w:p>
            <w:r>
              <w:rPr>
                <w:rFonts w:ascii="Calibri" w:hAnsi="Calibri"/>
                <w:sz w:val="22"/>
              </w:rPr>
              <w:t>+30bps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w:t>
            </w:r>
          </w:p>
        </w:tc>
        <w:tc>
          <w:tcPr>
            <w:tcW w:type="dxa" w:w="1728"/>
          </w:tcPr>
          <w:p>
            <w:r>
              <w:rPr>
                <w:rFonts w:ascii="Calibri" w:hAnsi="Calibri"/>
                <w:sz w:val="22"/>
              </w:rPr>
              <w:t>+1.9%</w:t>
            </w:r>
          </w:p>
        </w:tc>
        <w:tc>
          <w:tcPr>
            <w:tcW w:type="dxa" w:w="1728"/>
          </w:tcPr>
          <w:p>
            <w:r>
              <w:rPr>
                <w:rFonts w:ascii="Calibri" w:hAnsi="Calibri"/>
                <w:sz w:val="22"/>
              </w:rPr>
              <w:t>-50bps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+3.5%</w:t>
            </w:r>
          </w:p>
        </w:tc>
        <w:tc>
          <w:tcPr>
            <w:tcW w:type="dxa" w:w="1728"/>
          </w:tcPr>
          <w:p>
            <w:r>
              <w:rPr>
                <w:rFonts w:ascii="Calibri" w:hAnsi="Calibri"/>
                <w:sz w:val="22"/>
              </w:rPr>
              <w:t>+2.0%</w:t>
            </w:r>
          </w:p>
        </w:tc>
        <w:tc>
          <w:tcPr>
            <w:tcW w:type="dxa" w:w="1728"/>
          </w:tcPr>
          <w:p>
            <w:r>
              <w:rPr>
                <w:rFonts w:ascii="Calibri" w:hAnsi="Calibri"/>
                <w:sz w:val="22"/>
              </w:rPr>
              <w:t>+150bps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w:t>
            </w:r>
          </w:p>
        </w:tc>
        <w:tc>
          <w:tcPr>
            <w:tcW w:type="dxa" w:w="1728"/>
          </w:tcPr>
          <w:p>
            <w:r>
              <w:rPr>
                <w:rFonts w:ascii="Calibri" w:hAnsi="Calibri"/>
                <w:sz w:val="22"/>
              </w:rPr>
              <w:t>+3.0%</w:t>
            </w:r>
          </w:p>
        </w:tc>
        <w:tc>
          <w:tcPr>
            <w:tcW w:type="dxa" w:w="1728"/>
          </w:tcPr>
          <w:p>
            <w:r>
              <w:rPr>
                <w:rFonts w:ascii="Calibri" w:hAnsi="Calibri"/>
                <w:sz w:val="22"/>
              </w:rPr>
              <w:t>-50bps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-0.5%</w:t>
            </w:r>
          </w:p>
        </w:tc>
        <w:tc>
          <w:tcPr>
            <w:tcW w:type="dxa" w:w="1728"/>
          </w:tcPr>
          <w:p>
            <w:r>
              <w:rPr>
                <w:rFonts w:ascii="Calibri" w:hAnsi="Calibri"/>
                <w:sz w:val="22"/>
              </w:rPr>
              <w:t>+0.0%</w:t>
            </w:r>
          </w:p>
        </w:tc>
        <w:tc>
          <w:tcPr>
            <w:tcW w:type="dxa" w:w="1728"/>
          </w:tcPr>
          <w:p>
            <w:r>
              <w:rPr>
                <w:rFonts w:ascii="Calibri" w:hAnsi="Calibri"/>
                <w:sz w:val="22"/>
              </w:rPr>
              <w:t>-50bps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-1.1%</w:t>
            </w:r>
          </w:p>
        </w:tc>
        <w:tc>
          <w:tcPr>
            <w:tcW w:type="dxa" w:w="1728"/>
          </w:tcPr>
          <w:p>
            <w:r>
              <w:rPr>
                <w:rFonts w:ascii="Calibri" w:hAnsi="Calibri"/>
                <w:sz w:val="22"/>
              </w:rPr>
              <w:t>-0.8%</w:t>
            </w:r>
          </w:p>
        </w:tc>
        <w:tc>
          <w:tcPr>
            <w:tcW w:type="dxa" w:w="1728"/>
          </w:tcPr>
          <w:p>
            <w:r>
              <w:rPr>
                <w:rFonts w:ascii="Calibri" w:hAnsi="Calibri"/>
                <w:sz w:val="22"/>
              </w:rPr>
              <w:t>-30bps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+0.5%</w:t>
            </w:r>
          </w:p>
        </w:tc>
        <w:tc>
          <w:tcPr>
            <w:tcW w:type="dxa" w:w="1728"/>
          </w:tcPr>
          <w:p>
            <w:r>
              <w:rPr>
                <w:rFonts w:ascii="Calibri" w:hAnsi="Calibri"/>
                <w:sz w:val="22"/>
              </w:rPr>
              <w:t>+0.3%</w:t>
            </w:r>
          </w:p>
        </w:tc>
        <w:tc>
          <w:tcPr>
            <w:tcW w:type="dxa" w:w="1728"/>
          </w:tcPr>
          <w:p>
            <w:r>
              <w:rPr>
                <w:rFonts w:ascii="Calibri" w:hAnsi="Calibri"/>
                <w:sz w:val="22"/>
              </w:rPr>
              <w:t>+20bps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+3.6%</w:t>
            </w:r>
          </w:p>
        </w:tc>
        <w:tc>
          <w:tcPr>
            <w:tcW w:type="dxa" w:w="1728"/>
          </w:tcPr>
          <w:p>
            <w:r>
              <w:rPr>
                <w:rFonts w:ascii="Calibri" w:hAnsi="Calibri"/>
                <w:sz w:val="22"/>
              </w:rPr>
              <w:t>+2.4%</w:t>
            </w:r>
          </w:p>
        </w:tc>
        <w:tc>
          <w:tcPr>
            <w:tcW w:type="dxa" w:w="1728"/>
          </w:tcPr>
          <w:p>
            <w:r>
              <w:rPr>
                <w:rFonts w:ascii="Calibri" w:hAnsi="Calibri"/>
                <w:sz w:val="22"/>
              </w:rPr>
              <w:t>+120bps</w:t>
            </w:r>
          </w:p>
        </w:tc>
        <w:tc>
          <w:tcPr>
            <w:tcW w:type="dxa" w:w="1728"/>
          </w:tcPr>
          <w:p>
            <w:r>
              <w:rPr>
                <w:rFonts w:ascii="Calibri" w:hAnsi="Calibri"/>
                <w:b/>
                <w:color w:val="30A46C"/>
                <w:sz w:val="22"/>
              </w:rPr>
              <w:t>Beat</w:t>
            </w:r>
          </w:p>
        </w:tc>
      </w:tr>
    </w:tbl>
    <w:p>
      <w:pPr>
        <w:pStyle w:val="Heading4"/>
      </w:pPr>
      <w:r>
        <w:rPr>
          <w:rFonts w:ascii="Calibri" w:hAnsi="Calibri"/>
          <w:b/>
          <w:color w:val="3B4259"/>
          <w:sz w:val="22"/>
        </w:rPr>
        <w:t>Top KPI #2: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($M)</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$917M</w:t>
            </w:r>
          </w:p>
        </w:tc>
        <w:tc>
          <w:tcPr>
            <w:tcW w:type="dxa" w:w="1728"/>
          </w:tcPr>
          <w:p>
            <w:r>
              <w:rPr>
                <w:rFonts w:ascii="Calibri" w:hAnsi="Calibri"/>
                <w:sz w:val="22"/>
              </w:rPr>
              <w:t>$902M</w:t>
            </w:r>
          </w:p>
        </w:tc>
        <w:tc>
          <w:tcPr>
            <w:tcW w:type="dxa" w:w="1728"/>
          </w:tcPr>
          <w:p>
            <w:r>
              <w:rPr>
                <w:rFonts w:ascii="Calibri" w:hAnsi="Calibri"/>
                <w:sz w:val="22"/>
              </w:rPr>
              <w:t>+$15M</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$904M</w:t>
            </w:r>
          </w:p>
        </w:tc>
        <w:tc>
          <w:tcPr>
            <w:tcW w:type="dxa" w:w="1728"/>
          </w:tcPr>
          <w:p>
            <w:r>
              <w:rPr>
                <w:rFonts w:ascii="Calibri" w:hAnsi="Calibri"/>
                <w:sz w:val="22"/>
              </w:rPr>
              <w:t>$885M</w:t>
            </w:r>
          </w:p>
        </w:tc>
        <w:tc>
          <w:tcPr>
            <w:tcW w:type="dxa" w:w="1728"/>
          </w:tcPr>
          <w:p>
            <w:r>
              <w:rPr>
                <w:rFonts w:ascii="Calibri" w:hAnsi="Calibri"/>
                <w:sz w:val="22"/>
              </w:rPr>
              <w:t>+$19M</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$858M</w:t>
            </w:r>
          </w:p>
        </w:tc>
        <w:tc>
          <w:tcPr>
            <w:tcW w:type="dxa" w:w="1728"/>
          </w:tcPr>
          <w:p>
            <w:r>
              <w:rPr>
                <w:rFonts w:ascii="Calibri" w:hAnsi="Calibri"/>
                <w:sz w:val="22"/>
              </w:rPr>
              <w:t>$831M</w:t>
            </w:r>
          </w:p>
        </w:tc>
        <w:tc>
          <w:tcPr>
            <w:tcW w:type="dxa" w:w="1728"/>
          </w:tcPr>
          <w:p>
            <w:r>
              <w:rPr>
                <w:rFonts w:ascii="Calibri" w:hAnsi="Calibri"/>
                <w:sz w:val="22"/>
              </w:rPr>
              <w:t>+$27M</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$795M</w:t>
            </w:r>
          </w:p>
        </w:tc>
        <w:tc>
          <w:tcPr>
            <w:tcW w:type="dxa" w:w="1728"/>
          </w:tcPr>
          <w:p>
            <w:r>
              <w:rPr>
                <w:rFonts w:ascii="Calibri" w:hAnsi="Calibri"/>
                <w:sz w:val="22"/>
              </w:rPr>
              <w:t>$781M</w:t>
            </w:r>
          </w:p>
        </w:tc>
        <w:tc>
          <w:tcPr>
            <w:tcW w:type="dxa" w:w="1728"/>
          </w:tcPr>
          <w:p>
            <w:r>
              <w:rPr>
                <w:rFonts w:ascii="Calibri" w:hAnsi="Calibri"/>
                <w:sz w:val="22"/>
              </w:rPr>
              <w:t>+$14M</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$1,008M</w:t>
            </w:r>
          </w:p>
        </w:tc>
        <w:tc>
          <w:tcPr>
            <w:tcW w:type="dxa" w:w="1728"/>
          </w:tcPr>
          <w:p>
            <w:r>
              <w:rPr>
                <w:rFonts w:ascii="Calibri" w:hAnsi="Calibri"/>
                <w:sz w:val="22"/>
              </w:rPr>
              <w:t>$961M</w:t>
            </w:r>
          </w:p>
        </w:tc>
        <w:tc>
          <w:tcPr>
            <w:tcW w:type="dxa" w:w="1728"/>
          </w:tcPr>
          <w:p>
            <w:r>
              <w:rPr>
                <w:rFonts w:ascii="Calibri" w:hAnsi="Calibri"/>
                <w:sz w:val="22"/>
              </w:rPr>
              <w:t>+$47M</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$976M</w:t>
            </w:r>
          </w:p>
        </w:tc>
        <w:tc>
          <w:tcPr>
            <w:tcW w:type="dxa" w:w="1728"/>
          </w:tcPr>
          <w:p>
            <w:r>
              <w:rPr>
                <w:rFonts w:ascii="Calibri" w:hAnsi="Calibri"/>
                <w:sz w:val="22"/>
              </w:rPr>
              <w:t>$950M</w:t>
            </w:r>
          </w:p>
        </w:tc>
        <w:tc>
          <w:tcPr>
            <w:tcW w:type="dxa" w:w="1728"/>
          </w:tcPr>
          <w:p>
            <w:r>
              <w:rPr>
                <w:rFonts w:ascii="Calibri" w:hAnsi="Calibri"/>
                <w:sz w:val="22"/>
              </w:rPr>
              <w:t>+$26M</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$946M</w:t>
            </w:r>
          </w:p>
        </w:tc>
        <w:tc>
          <w:tcPr>
            <w:tcW w:type="dxa" w:w="1728"/>
          </w:tcPr>
          <w:p>
            <w:r>
              <w:rPr>
                <w:rFonts w:ascii="Calibri" w:hAnsi="Calibri"/>
                <w:sz w:val="22"/>
              </w:rPr>
              <w:t>$924M</w:t>
            </w:r>
          </w:p>
        </w:tc>
        <w:tc>
          <w:tcPr>
            <w:tcW w:type="dxa" w:w="1728"/>
          </w:tcPr>
          <w:p>
            <w:r>
              <w:rPr>
                <w:rFonts w:ascii="Calibri" w:hAnsi="Calibri"/>
                <w:sz w:val="22"/>
              </w:rPr>
              <w:t>+$22M</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$901M</w:t>
            </w:r>
          </w:p>
        </w:tc>
        <w:tc>
          <w:tcPr>
            <w:tcW w:type="dxa" w:w="1728"/>
          </w:tcPr>
          <w:p>
            <w:r>
              <w:rPr>
                <w:rFonts w:ascii="Calibri" w:hAnsi="Calibri"/>
                <w:sz w:val="22"/>
              </w:rPr>
              <w:t>$893M</w:t>
            </w:r>
          </w:p>
        </w:tc>
        <w:tc>
          <w:tcPr>
            <w:tcW w:type="dxa" w:w="1728"/>
          </w:tcPr>
          <w:p>
            <w:r>
              <w:rPr>
                <w:rFonts w:ascii="Calibri" w:hAnsi="Calibri"/>
                <w:sz w:val="22"/>
              </w:rPr>
              <w:t>+$8M</w:t>
            </w:r>
          </w:p>
        </w:tc>
        <w:tc>
          <w:tcPr>
            <w:tcW w:type="dxa" w:w="1728"/>
          </w:tcPr>
          <w:p>
            <w:r>
              <w:rPr>
                <w:rFonts w:ascii="Calibri" w:hAnsi="Calibri"/>
                <w:b/>
                <w:color w:val="30A46C"/>
                <w:sz w:val="22"/>
              </w:rPr>
              <w:t>Beat</w:t>
            </w:r>
          </w:p>
        </w:tc>
      </w:tr>
    </w:tbl>
    <w:p>
      <w:r>
        <w:rPr>
          <w:rFonts w:ascii="Calibri" w:hAnsi="Calibri"/>
          <w:i/>
          <w:color w:val="525866"/>
          <w:sz w:val="22"/>
        </w:rPr>
        <w:t>HLT has beaten adj. EBITDA consensus in all 8 of the last 8 quarters, with beats ranging from $8M to $47M. RevPAR growth has been more mixed (5 beats, 3 misses), with misses concentrated in the soft demand period of mid-2025. The consistent EBITDA beat pattern reflects HLT’s ability to drive non-RevPAR fee growth and cost discipline even when RevPAR disappoints.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RevPAR and EPS guidance on the Q1 call, but Q2 is explicitly flagged as the peak Middle East headwind quarter. </w:t>
      </w:r>
      <w:r>
        <w:rPr>
          <w:rFonts w:ascii="Calibri" w:hAnsi="Calibri"/>
          <w:b/>
          <w:color w:val="525866"/>
          <w:sz w:val="22"/>
        </w:rPr>
        <w:t>No post-earnings guidance revisions have been issued</w:t>
      </w:r>
      <w:r>
        <w:rPr>
          <w:rFonts w:ascii="Calibri" w:hAnsi="Calibri"/>
          <w:color w:val="525866"/>
          <w:sz w:val="22"/>
        </w:rPr>
        <w:t>, so the April 28 Q1 earnings call remains the sole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System-wide RevPAR Growth</w:t>
            </w:r>
          </w:p>
        </w:tc>
        <w:tc>
          <w:tcPr>
            <w:tcW w:type="dxa" w:w="1728"/>
          </w:tcPr>
          <w:p>
            <w:r>
              <w:rPr>
                <w:rFonts w:ascii="Calibri" w:hAnsi="Calibri"/>
                <w:sz w:val="22"/>
              </w:rPr>
              <w:t>2% to 3%</w:t>
            </w:r>
          </w:p>
        </w:tc>
        <w:tc>
          <w:tcPr>
            <w:tcW w:type="dxa" w:w="1728"/>
          </w:tcPr>
          <w:p>
            <w:r>
              <w:rPr>
                <w:rFonts w:ascii="Calibri" w:hAnsi="Calibri"/>
                <w:sz w:val="22"/>
              </w:rPr>
              <w:t>—</w:t>
            </w:r>
          </w:p>
        </w:tc>
        <w:tc>
          <w:tcPr>
            <w:tcW w:type="dxa" w:w="1728"/>
          </w:tcPr>
          <w:p>
            <w:r>
              <w:rPr>
                <w:rFonts w:ascii="Calibri" w:hAnsi="Calibri"/>
                <w:sz w:val="22"/>
              </w:rPr>
              <w:t>+3.4%</w:t>
            </w:r>
          </w:p>
        </w:tc>
        <w:tc>
          <w:tcPr>
            <w:tcW w:type="dxa" w:w="1728"/>
          </w:tcPr>
          <w:p>
            <w:r>
              <w:rPr>
                <w:rFonts w:ascii="Calibri" w:hAnsi="Calibri"/>
                <w:sz w:val="22"/>
              </w:rPr>
              <w:t>Consensus at high end; Middle East ~1.5pt drag flagged as peak Q2 headwind</w:t>
            </w:r>
          </w:p>
        </w:tc>
      </w:tr>
      <w:tr>
        <w:tc>
          <w:tcPr>
            <w:tcW w:type="dxa" w:w="1728"/>
          </w:tcPr>
          <w:p>
            <w:r>
              <w:rPr>
                <w:rFonts w:ascii="Calibri" w:hAnsi="Calibri"/>
                <w:sz w:val="22"/>
              </w:rPr>
              <w:t>Q2 Adj. EBITDA</w:t>
            </w:r>
          </w:p>
        </w:tc>
        <w:tc>
          <w:tcPr>
            <w:tcW w:type="dxa" w:w="1728"/>
          </w:tcPr>
          <w:p>
            <w:r>
              <w:rPr>
                <w:rFonts w:ascii="Calibri" w:hAnsi="Calibri"/>
                <w:sz w:val="22"/>
              </w:rPr>
              <w:t>$1,015M–$1,035M</w:t>
            </w:r>
          </w:p>
        </w:tc>
        <w:tc>
          <w:tcPr>
            <w:tcW w:type="dxa" w:w="1728"/>
          </w:tcPr>
          <w:p>
            <w:r>
              <w:rPr>
                <w:rFonts w:ascii="Calibri" w:hAnsi="Calibri"/>
                <w:sz w:val="22"/>
              </w:rPr>
              <w:t>—</w:t>
            </w:r>
          </w:p>
        </w:tc>
        <w:tc>
          <w:tcPr>
            <w:tcW w:type="dxa" w:w="1728"/>
          </w:tcPr>
          <w:p>
            <w:r>
              <w:rPr>
                <w:rFonts w:ascii="Calibri" w:hAnsi="Calibri"/>
                <w:sz w:val="22"/>
              </w:rPr>
              <w:t>$1,039M</w:t>
            </w:r>
          </w:p>
        </w:tc>
        <w:tc>
          <w:tcPr>
            <w:tcW w:type="dxa" w:w="1728"/>
          </w:tcPr>
          <w:p>
            <w:r>
              <w:rPr>
                <w:rFonts w:ascii="Calibri" w:hAnsi="Calibri"/>
                <w:sz w:val="22"/>
              </w:rPr>
              <w:t>Consensus $4M above midpoint; one-time timing items flagged for Q2</w:t>
            </w:r>
          </w:p>
        </w:tc>
      </w:tr>
      <w:tr>
        <w:tc>
          <w:tcPr>
            <w:tcW w:type="dxa" w:w="1728"/>
          </w:tcPr>
          <w:p>
            <w:r>
              <w:rPr>
                <w:rFonts w:ascii="Calibri" w:hAnsi="Calibri"/>
                <w:sz w:val="22"/>
              </w:rPr>
              <w:t>Q2 Diluted EPS (Operating)</w:t>
            </w:r>
          </w:p>
        </w:tc>
        <w:tc>
          <w:tcPr>
            <w:tcW w:type="dxa" w:w="1728"/>
          </w:tcPr>
          <w:p>
            <w:r>
              <w:rPr>
                <w:rFonts w:ascii="Calibri" w:hAnsi="Calibri"/>
                <w:sz w:val="22"/>
              </w:rPr>
              <w:t>$2.18–$2.24</w:t>
            </w:r>
          </w:p>
        </w:tc>
        <w:tc>
          <w:tcPr>
            <w:tcW w:type="dxa" w:w="1728"/>
          </w:tcPr>
          <w:p>
            <w:r>
              <w:rPr>
                <w:rFonts w:ascii="Calibri" w:hAnsi="Calibri"/>
                <w:sz w:val="22"/>
              </w:rPr>
              <w:t>—</w:t>
            </w:r>
          </w:p>
        </w:tc>
        <w:tc>
          <w:tcPr>
            <w:tcW w:type="dxa" w:w="1728"/>
          </w:tcPr>
          <w:p>
            <w:r>
              <w:rPr>
                <w:rFonts w:ascii="Calibri" w:hAnsi="Calibri"/>
                <w:sz w:val="22"/>
              </w:rPr>
              <w:t>$2.28</w:t>
            </w:r>
          </w:p>
        </w:tc>
        <w:tc>
          <w:tcPr>
            <w:tcW w:type="dxa" w:w="1728"/>
          </w:tcPr>
          <w:p>
            <w:r>
              <w:rPr>
                <w:rFonts w:ascii="Calibri" w:hAnsi="Calibri"/>
                <w:sz w:val="22"/>
              </w:rPr>
              <w:t>Consensus $0.07 above midpoint; buyback optionality not in guidance</w:t>
            </w:r>
          </w:p>
        </w:tc>
      </w:tr>
      <w:tr>
        <w:tc>
          <w:tcPr>
            <w:tcW w:type="dxa" w:w="1728"/>
          </w:tcPr>
          <w:p>
            <w:r>
              <w:rPr>
                <w:rFonts w:ascii="Calibri" w:hAnsi="Calibri"/>
                <w:sz w:val="22"/>
              </w:rPr>
              <w:t>FY 2026 System-wide RevPAR Growth</w:t>
            </w:r>
          </w:p>
        </w:tc>
        <w:tc>
          <w:tcPr>
            <w:tcW w:type="dxa" w:w="1728"/>
          </w:tcPr>
          <w:p>
            <w:r>
              <w:rPr>
                <w:rFonts w:ascii="Calibri" w:hAnsi="Calibri"/>
                <w:sz w:val="22"/>
              </w:rPr>
              <w:t>2% to 3%</w:t>
            </w:r>
          </w:p>
        </w:tc>
        <w:tc>
          <w:tcPr>
            <w:tcW w:type="dxa" w:w="1728"/>
          </w:tcPr>
          <w:p>
            <w:r>
              <w:rPr>
                <w:rFonts w:ascii="Calibri" w:hAnsi="Calibri"/>
                <w:sz w:val="22"/>
              </w:rPr>
              <w:t>—</w:t>
            </w:r>
          </w:p>
        </w:tc>
        <w:tc>
          <w:tcPr>
            <w:tcW w:type="dxa" w:w="1728"/>
          </w:tcPr>
          <w:p>
            <w:r>
              <w:rPr>
                <w:rFonts w:ascii="Calibri" w:hAnsi="Calibri"/>
                <w:sz w:val="22"/>
              </w:rPr>
              <w:t>+2.8%</w:t>
            </w:r>
          </w:p>
        </w:tc>
        <w:tc>
          <w:tcPr>
            <w:tcW w:type="dxa" w:w="1728"/>
          </w:tcPr>
          <w:p>
            <w:r>
              <w:rPr>
                <w:rFonts w:ascii="Calibri" w:hAnsi="Calibri"/>
                <w:sz w:val="22"/>
              </w:rPr>
              <w:t>Raised from prior 1–2% range; Middle East 0.5–1pt full-year drag assumed</w:t>
            </w:r>
          </w:p>
        </w:tc>
      </w:tr>
      <w:tr>
        <w:tc>
          <w:tcPr>
            <w:tcW w:type="dxa" w:w="1728"/>
          </w:tcPr>
          <w:p>
            <w:r>
              <w:rPr>
                <w:rFonts w:ascii="Calibri" w:hAnsi="Calibri"/>
                <w:sz w:val="22"/>
              </w:rPr>
              <w:t>FY 2026 Adj. EBITDA</w:t>
            </w:r>
          </w:p>
        </w:tc>
        <w:tc>
          <w:tcPr>
            <w:tcW w:type="dxa" w:w="1728"/>
          </w:tcPr>
          <w:p>
            <w:r>
              <w:rPr>
                <w:rFonts w:ascii="Calibri" w:hAnsi="Calibri"/>
                <w:sz w:val="22"/>
              </w:rPr>
              <w:t>$4,020M–$4,060M</w:t>
            </w:r>
          </w:p>
        </w:tc>
        <w:tc>
          <w:tcPr>
            <w:tcW w:type="dxa" w:w="1728"/>
          </w:tcPr>
          <w:p>
            <w:r>
              <w:rPr>
                <w:rFonts w:ascii="Calibri" w:hAnsi="Calibri"/>
                <w:sz w:val="22"/>
              </w:rPr>
              <w:t>—</w:t>
            </w:r>
          </w:p>
        </w:tc>
        <w:tc>
          <w:tcPr>
            <w:tcW w:type="dxa" w:w="1728"/>
          </w:tcPr>
          <w:p>
            <w:r>
              <w:rPr>
                <w:rFonts w:ascii="Calibri" w:hAnsi="Calibri"/>
                <w:sz w:val="22"/>
              </w:rPr>
              <w:t>$4,054M</w:t>
            </w:r>
          </w:p>
        </w:tc>
        <w:tc>
          <w:tcPr>
            <w:tcW w:type="dxa" w:w="1728"/>
          </w:tcPr>
          <w:p>
            <w:r>
              <w:rPr>
                <w:rFonts w:ascii="Calibri" w:hAnsi="Calibri"/>
                <w:sz w:val="22"/>
              </w:rPr>
              <w:t>Consensus near high end of range; non-RevPAR fee growth a key upside driver</w:t>
            </w:r>
          </w:p>
        </w:tc>
      </w:tr>
      <w:tr>
        <w:tc>
          <w:tcPr>
            <w:tcW w:type="dxa" w:w="1728"/>
          </w:tcPr>
          <w:p>
            <w:r>
              <w:rPr>
                <w:rFonts w:ascii="Calibri" w:hAnsi="Calibri"/>
                <w:sz w:val="22"/>
              </w:rPr>
              <w:t>FY 2026 Diluted EPS (Operating)</w:t>
            </w:r>
          </w:p>
        </w:tc>
        <w:tc>
          <w:tcPr>
            <w:tcW w:type="dxa" w:w="1728"/>
          </w:tcPr>
          <w:p>
            <w:r>
              <w:rPr>
                <w:rFonts w:ascii="Calibri" w:hAnsi="Calibri"/>
                <w:sz w:val="22"/>
              </w:rPr>
              <w:t>$8.79–$8.91</w:t>
            </w:r>
          </w:p>
        </w:tc>
        <w:tc>
          <w:tcPr>
            <w:tcW w:type="dxa" w:w="1728"/>
          </w:tcPr>
          <w:p>
            <w:r>
              <w:rPr>
                <w:rFonts w:ascii="Calibri" w:hAnsi="Calibri"/>
                <w:sz w:val="22"/>
              </w:rPr>
              <w:t>—</w:t>
            </w:r>
          </w:p>
        </w:tc>
        <w:tc>
          <w:tcPr>
            <w:tcW w:type="dxa" w:w="1728"/>
          </w:tcPr>
          <w:p>
            <w:r>
              <w:rPr>
                <w:rFonts w:ascii="Calibri" w:hAnsi="Calibri"/>
                <w:sz w:val="22"/>
              </w:rPr>
              <w:t>$8.98</w:t>
            </w:r>
          </w:p>
        </w:tc>
        <w:tc>
          <w:tcPr>
            <w:tcW w:type="dxa" w:w="1728"/>
          </w:tcPr>
          <w:p>
            <w:r>
              <w:rPr>
                <w:rFonts w:ascii="Calibri" w:hAnsi="Calibri"/>
                <w:sz w:val="22"/>
              </w:rPr>
              <w:t>Consensus above guidance range; reflects buyback optionality not embedded in guidance</w:t>
            </w:r>
          </w:p>
        </w:tc>
      </w:tr>
      <w:tr>
        <w:tc>
          <w:tcPr>
            <w:tcW w:type="dxa" w:w="1728"/>
          </w:tcPr>
          <w:p>
            <w:r>
              <w:rPr>
                <w:rFonts w:ascii="Calibri" w:hAnsi="Calibri"/>
                <w:sz w:val="22"/>
              </w:rPr>
              <w:t>Net Unit Growth (FY 2026)</w:t>
            </w:r>
          </w:p>
        </w:tc>
        <w:tc>
          <w:tcPr>
            <w:tcW w:type="dxa" w:w="1728"/>
          </w:tcPr>
          <w:p>
            <w:r>
              <w:rPr>
                <w:rFonts w:ascii="Calibri" w:hAnsi="Calibri"/>
                <w:sz w:val="22"/>
              </w:rPr>
              <w:t>6% to 7%</w:t>
            </w:r>
          </w:p>
        </w:tc>
        <w:tc>
          <w:tcPr>
            <w:tcW w:type="dxa" w:w="1728"/>
          </w:tcPr>
          <w:p>
            <w:r>
              <w:rPr>
                <w:rFonts w:ascii="Calibri" w:hAnsi="Calibri"/>
                <w:sz w:val="22"/>
              </w:rPr>
              <w:t>—</w:t>
            </w:r>
          </w:p>
        </w:tc>
        <w:tc>
          <w:tcPr>
            <w:tcW w:type="dxa" w:w="1728"/>
          </w:tcPr>
          <w:p>
            <w:r>
              <w:rPr>
                <w:rFonts w:ascii="Calibri" w:hAnsi="Calibri"/>
                <w:sz w:val="22"/>
              </w:rPr>
              <w:t>~6.4%</w:t>
            </w:r>
          </w:p>
        </w:tc>
        <w:tc>
          <w:tcPr>
            <w:tcW w:type="dxa" w:w="1728"/>
          </w:tcPr>
          <w:p>
            <w:r>
              <w:rPr>
                <w:rFonts w:ascii="Calibri" w:hAnsi="Calibri"/>
                <w:sz w:val="22"/>
              </w:rPr>
              <w:t>Record pipeline of 527,000 rooms; construction starts up 20%+ for the year</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modestly higher since the Q1 print — Q2 adj. EBITDA consensus is up ~$10M from the post-print baseline, and FY 2026 adj. EBITDA is essentially flat. The gap between consensus and guidance midpoints is small, suggesting the street is not pricing in a large beat but also not pricing in a miss. </w:t>
      </w:r>
      <w:r>
        <w:rPr>
          <w:rFonts w:ascii="Calibri" w:hAnsi="Calibri"/>
          <w:b/>
          <w:color w:val="525866"/>
          <w:sz w:val="22"/>
        </w:rPr>
        <w:t>FY EPS consensus sitting above the guidance range</w:t>
      </w:r>
      <w:r>
        <w:rPr>
          <w:rFonts w:ascii="Calibri" w:hAnsi="Calibri"/>
          <w:color w:val="525866"/>
          <w:sz w:val="22"/>
        </w:rPr>
        <w:t xml:space="preserve"> reflects buyback optionality not embedded in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3, 2026 — ~5 days post Q1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System-wide RevPAR Growth — Q2 2026</w:t>
            </w:r>
          </w:p>
        </w:tc>
        <w:tc>
          <w:tcPr>
            <w:tcW w:type="dxa" w:w="1080"/>
          </w:tcPr>
          <w:p>
            <w:r>
              <w:rPr>
                <w:rFonts w:ascii="Calibri" w:hAnsi="Calibri"/>
                <w:sz w:val="22"/>
              </w:rPr>
              <w:t>+2.3%</w:t>
            </w:r>
          </w:p>
        </w:tc>
        <w:tc>
          <w:tcPr>
            <w:tcW w:type="dxa" w:w="1080"/>
          </w:tcPr>
          <w:p>
            <w:r>
              <w:rPr>
                <w:rFonts w:ascii="Calibri" w:hAnsi="Calibri"/>
                <w:sz w:val="22"/>
              </w:rPr>
              <w:t>+3.4%</w:t>
            </w:r>
          </w:p>
        </w:tc>
        <w:tc>
          <w:tcPr>
            <w:tcW w:type="dxa" w:w="1080"/>
          </w:tcPr>
          <w:p>
            <w:r>
              <w:rPr>
                <w:rFonts w:ascii="Calibri" w:hAnsi="Calibri"/>
                <w:sz w:val="22"/>
              </w:rPr>
              <w:t>+110bps</w:t>
            </w:r>
          </w:p>
        </w:tc>
        <w:tc>
          <w:tcPr>
            <w:tcW w:type="dxa" w:w="1080"/>
          </w:tcPr>
          <w:p>
            <w:r>
              <w:rPr>
                <w:rFonts w:ascii="Calibri" w:hAnsi="Calibri"/>
                <w:sz w:val="22"/>
              </w:rPr>
              <w:t>2%–3%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+40bps above midpoint</w:t>
            </w:r>
          </w:p>
        </w:tc>
      </w:tr>
      <w:tr>
        <w:tc>
          <w:tcPr>
            <w:tcW w:type="dxa" w:w="1080"/>
          </w:tcPr>
          <w:p>
            <w:r>
              <w:rPr>
                <w:rFonts w:ascii="Calibri" w:hAnsi="Calibri"/>
                <w:sz w:val="22"/>
              </w:rPr>
              <w:t>Adj. EBITDA — Q2 2026</w:t>
            </w:r>
          </w:p>
        </w:tc>
        <w:tc>
          <w:tcPr>
            <w:tcW w:type="dxa" w:w="1080"/>
          </w:tcPr>
          <w:p>
            <w:r>
              <w:rPr>
                <w:rFonts w:ascii="Calibri" w:hAnsi="Calibri"/>
                <w:sz w:val="22"/>
              </w:rPr>
              <w:t>$1,029M</w:t>
            </w:r>
          </w:p>
        </w:tc>
        <w:tc>
          <w:tcPr>
            <w:tcW w:type="dxa" w:w="1080"/>
          </w:tcPr>
          <w:p>
            <w:r>
              <w:rPr>
                <w:rFonts w:ascii="Calibri" w:hAnsi="Calibri"/>
                <w:sz w:val="22"/>
              </w:rPr>
              <w:t>$1,039M</w:t>
            </w:r>
          </w:p>
        </w:tc>
        <w:tc>
          <w:tcPr>
            <w:tcW w:type="dxa" w:w="1080"/>
          </w:tcPr>
          <w:p>
            <w:r>
              <w:rPr>
                <w:rFonts w:ascii="Calibri" w:hAnsi="Calibri"/>
                <w:sz w:val="22"/>
              </w:rPr>
              <w:t>+1.0%</w:t>
            </w:r>
          </w:p>
        </w:tc>
        <w:tc>
          <w:tcPr>
            <w:tcW w:type="dxa" w:w="1080"/>
          </w:tcPr>
          <w:p>
            <w:r>
              <w:rPr>
                <w:rFonts w:ascii="Calibri" w:hAnsi="Calibri"/>
                <w:sz w:val="22"/>
              </w:rPr>
              <w:t>$1,015M–$1,035M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+$4M above midpoint</w:t>
            </w:r>
          </w:p>
        </w:tc>
      </w:tr>
      <w:tr>
        <w:tc>
          <w:tcPr>
            <w:tcW w:type="dxa" w:w="1080"/>
          </w:tcPr>
          <w:p>
            <w:r>
              <w:rPr>
                <w:rFonts w:ascii="Calibri" w:hAnsi="Calibri"/>
                <w:sz w:val="22"/>
              </w:rPr>
              <w:t>Diluted EPS (Op.) — Q2 2026</w:t>
            </w:r>
          </w:p>
        </w:tc>
        <w:tc>
          <w:tcPr>
            <w:tcW w:type="dxa" w:w="1080"/>
          </w:tcPr>
          <w:p>
            <w:r>
              <w:rPr>
                <w:rFonts w:ascii="Calibri" w:hAnsi="Calibri"/>
                <w:sz w:val="22"/>
              </w:rPr>
              <w:t>$2.24</w:t>
            </w:r>
          </w:p>
        </w:tc>
        <w:tc>
          <w:tcPr>
            <w:tcW w:type="dxa" w:w="1080"/>
          </w:tcPr>
          <w:p>
            <w:r>
              <w:rPr>
                <w:rFonts w:ascii="Calibri" w:hAnsi="Calibri"/>
                <w:sz w:val="22"/>
              </w:rPr>
              <w:t>$2.28</w:t>
            </w:r>
          </w:p>
        </w:tc>
        <w:tc>
          <w:tcPr>
            <w:tcW w:type="dxa" w:w="1080"/>
          </w:tcPr>
          <w:p>
            <w:r>
              <w:rPr>
                <w:rFonts w:ascii="Calibri" w:hAnsi="Calibri"/>
                <w:sz w:val="22"/>
              </w:rPr>
              <w:t>+1.8%</w:t>
            </w:r>
          </w:p>
        </w:tc>
        <w:tc>
          <w:tcPr>
            <w:tcW w:type="dxa" w:w="1080"/>
          </w:tcPr>
          <w:p>
            <w:r>
              <w:rPr>
                <w:rFonts w:ascii="Calibri" w:hAnsi="Calibri"/>
                <w:sz w:val="22"/>
              </w:rPr>
              <w:t>$2.18–$2.24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+$0.07 above midpoint</w:t>
            </w:r>
          </w:p>
        </w:tc>
      </w:tr>
      <w:tr>
        <w:tc>
          <w:tcPr>
            <w:tcW w:type="dxa" w:w="1080"/>
          </w:tcPr>
          <w:p>
            <w:r>
              <w:rPr>
                <w:rFonts w:ascii="Calibri" w:hAnsi="Calibri"/>
                <w:sz w:val="22"/>
              </w:rPr>
              <w:t>Adj. EBITDA — FY 2026</w:t>
            </w:r>
          </w:p>
        </w:tc>
        <w:tc>
          <w:tcPr>
            <w:tcW w:type="dxa" w:w="1080"/>
          </w:tcPr>
          <w:p>
            <w:r>
              <w:rPr>
                <w:rFonts w:ascii="Calibri" w:hAnsi="Calibri"/>
                <w:sz w:val="22"/>
              </w:rPr>
              <w:t>$4,043M</w:t>
            </w:r>
          </w:p>
        </w:tc>
        <w:tc>
          <w:tcPr>
            <w:tcW w:type="dxa" w:w="1080"/>
          </w:tcPr>
          <w:p>
            <w:r>
              <w:rPr>
                <w:rFonts w:ascii="Calibri" w:hAnsi="Calibri"/>
                <w:sz w:val="22"/>
              </w:rPr>
              <w:t>$4,054M</w:t>
            </w:r>
          </w:p>
        </w:tc>
        <w:tc>
          <w:tcPr>
            <w:tcW w:type="dxa" w:w="1080"/>
          </w:tcPr>
          <w:p>
            <w:r>
              <w:rPr>
                <w:rFonts w:ascii="Calibri" w:hAnsi="Calibri"/>
                <w:sz w:val="22"/>
              </w:rPr>
              <w:t>+0.3%</w:t>
            </w:r>
          </w:p>
        </w:tc>
        <w:tc>
          <w:tcPr>
            <w:tcW w:type="dxa" w:w="1080"/>
          </w:tcPr>
          <w:p>
            <w:r>
              <w:rPr>
                <w:rFonts w:ascii="Calibri" w:hAnsi="Calibri"/>
                <w:sz w:val="22"/>
              </w:rPr>
              <w:t>$4,020M–$4,060M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high end of range</w:t>
            </w:r>
          </w:p>
        </w:tc>
      </w:tr>
      <w:tr>
        <w:tc>
          <w:tcPr>
            <w:tcW w:type="dxa" w:w="1080"/>
          </w:tcPr>
          <w:p>
            <w:r>
              <w:rPr>
                <w:rFonts w:ascii="Calibri" w:hAnsi="Calibri"/>
                <w:sz w:val="22"/>
              </w:rPr>
              <w:t>Diluted EPS (Op.) — FY 2026</w:t>
            </w:r>
          </w:p>
        </w:tc>
        <w:tc>
          <w:tcPr>
            <w:tcW w:type="dxa" w:w="1080"/>
          </w:tcPr>
          <w:p>
            <w:r>
              <w:rPr>
                <w:rFonts w:ascii="Calibri" w:hAnsi="Calibri"/>
                <w:sz w:val="22"/>
              </w:rPr>
              <w:t>$9.02</w:t>
            </w:r>
          </w:p>
        </w:tc>
        <w:tc>
          <w:tcPr>
            <w:tcW w:type="dxa" w:w="1080"/>
          </w:tcPr>
          <w:p>
            <w:r>
              <w:rPr>
                <w:rFonts w:ascii="Calibri" w:hAnsi="Calibri"/>
                <w:sz w:val="22"/>
              </w:rPr>
              <w:t>$8.98</w:t>
            </w:r>
          </w:p>
        </w:tc>
        <w:tc>
          <w:tcPr>
            <w:tcW w:type="dxa" w:w="1080"/>
          </w:tcPr>
          <w:p>
            <w:r>
              <w:rPr>
                <w:rFonts w:ascii="Calibri" w:hAnsi="Calibri"/>
                <w:sz w:val="22"/>
              </w:rPr>
              <w:t>-0.4%</w:t>
            </w:r>
          </w:p>
        </w:tc>
        <w:tc>
          <w:tcPr>
            <w:tcW w:type="dxa" w:w="1080"/>
          </w:tcPr>
          <w:p>
            <w:r>
              <w:rPr>
                <w:rFonts w:ascii="Calibri" w:hAnsi="Calibri"/>
                <w:sz w:val="22"/>
              </w:rPr>
              <w:t>$8.79–$8.91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Above guidance range</w:t>
            </w:r>
          </w:p>
        </w:tc>
      </w:tr>
    </w:tbl>
    <w:p>
      <w:r>
        <w:rPr>
          <w:rFonts w:ascii="Calibri" w:hAnsi="Calibri"/>
          <w:i/>
          <w:color w:val="525866"/>
          <w:sz w:val="22"/>
        </w:rPr>
        <w:t>Source: Visible Alpha. May 3, 2026 as-of date represents the clean post-print baseline ~5 trading days after the April 28 Q1 earnings release. The modest upward drift in Q2 EBITDA estimates (+$10M) since the post-print baseline likely reflects positive peer read-throughs from MAR’s Q1 beat and WH’s Q2 beat. FY EPS consensus sitting above the guidance range reflects buyback optionality not embedded in guidance (HLT targets ~$3.5B in total capital returns for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HLT has </w:t>
      </w:r>
      <w:r>
        <w:rPr>
          <w:rFonts w:ascii="Calibri" w:hAnsi="Calibri"/>
          <w:b/>
          <w:color w:val="525866"/>
          <w:sz w:val="22"/>
        </w:rPr>
        <w:t>underperformed</w:t>
      </w:r>
      <w:r>
        <w:rPr>
          <w:rFonts w:ascii="Calibri" w:hAnsi="Calibri"/>
          <w:color w:val="525866"/>
          <w:sz w:val="22"/>
        </w:rPr>
        <w:t xml:space="preserve"> both MAR (+6.9%) and the S&amp;P 500 (+3.8%) since the Q1 earnings date (April 28, 2026), returning only +2.3% on an indexed basis through July 28. The underperformance is likely driven by the Middle East overhang and the initial market disappointment that the FY EPS guidance midpoint came in below sell-side consensus — creating a potentially attractive setup if Q2 clears the overhang.</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HLT vs. MAR (peer) vs. S&amp;P 500 (SPY) — Indexed to 100 at April 28, 2026 (Q1 2026 Earnings Date). Peer benchmark: MAR (Marriott International). Event markers: Leadership Reshuffle (May 5), $1B Senior Notes (May 11), Incentive Plan Approved (May 18). Source: Yahoo Finance.</w:t>
      </w:r>
    </w:p>
    <w:p>
      <w:pPr>
        <w:pStyle w:val="ListBullet"/>
        <w:ind w:left="360" w:hanging="360"/>
      </w:pPr>
      <w:r>
        <w:rPr>
          <w:rFonts w:ascii="Calibri" w:hAnsi="Calibri"/>
          <w:color w:val="525866"/>
          <w:sz w:val="22"/>
        </w:rPr>
        <w:t>HLT sold off ~3% in the first week post-earnings (April 28 – May 4), reflecting market disappointment that the FY EPS guidance midpoint came in below sell-side consensus despite the Q1 beat.</w:t>
      </w:r>
    </w:p>
    <w:p>
      <w:pPr>
        <w:pStyle w:val="ListBullet"/>
        <w:ind w:left="360" w:hanging="360"/>
      </w:pPr>
      <w:r>
        <w:rPr>
          <w:rFonts w:ascii="Calibri" w:hAnsi="Calibri"/>
          <w:color w:val="525866"/>
          <w:sz w:val="22"/>
        </w:rPr>
        <w:t>HLT recovered through late May/early June, reaching a peak of ~+8% indexed around June 12–16, driven by broader market recovery and positive peer read-throughs.</w:t>
      </w:r>
    </w:p>
    <w:p>
      <w:pPr>
        <w:pStyle w:val="ListBullet"/>
        <w:ind w:left="360" w:hanging="360"/>
      </w:pPr>
      <w:r>
        <w:rPr>
          <w:rFonts w:ascii="Calibri" w:hAnsi="Calibri"/>
          <w:color w:val="525866"/>
          <w:sz w:val="22"/>
        </w:rPr>
        <w:t>MAR outperformed throughout the period, peaking at ~+12% indexed in late May/early June, reflecting its larger international diversification and stronger Q1 beat.</w:t>
      </w:r>
    </w:p>
    <w:p>
      <w:pPr>
        <w:pStyle w:val="ListBullet"/>
        <w:ind w:left="360" w:hanging="360"/>
      </w:pPr>
      <w:r>
        <w:rPr>
          <w:rFonts w:ascii="Calibri" w:hAnsi="Calibri"/>
          <w:color w:val="525866"/>
          <w:sz w:val="22"/>
        </w:rPr>
        <w:t>Both HLT and MAR pulled back in late June/early July before partially recovering into late July.</w:t>
      </w:r>
    </w:p>
    <w:p>
      <w:pPr>
        <w:pStyle w:val="ListBullet"/>
        <w:ind w:left="360" w:hanging="360"/>
      </w:pPr>
      <w:r>
        <w:rPr>
          <w:rFonts w:ascii="Calibri" w:hAnsi="Calibri"/>
          <w:color w:val="525866"/>
          <w:sz w:val="22"/>
        </w:rPr>
        <w:t>HLT’s current indexed level (~+2.3%) significantly lags MAR (+6.9%) and SPY (+3.8%), suggesting the Middle East overhang has weighed disproportionately on HLT relative to peers.</w:t>
      </w:r>
    </w:p>
    <w:p>
      <w:pPr>
        <w:pStyle w:val="ListBullet"/>
        <w:ind w:left="360" w:hanging="360"/>
      </w:pPr>
      <w:r>
        <w:rPr>
          <w:rFonts w:ascii="Calibri" w:hAnsi="Calibri"/>
          <w:color w:val="525866"/>
          <w:sz w:val="22"/>
        </w:rPr>
        <w:t>The leadership reshuffle announcement (May 5) did not appear to cause a sustained negative reaction in the stock.</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post-earnings development is the </w:t>
      </w:r>
      <w:r>
        <w:rPr>
          <w:rFonts w:ascii="Calibri" w:hAnsi="Calibri"/>
          <w:b/>
          <w:color w:val="525866"/>
          <w:sz w:val="22"/>
        </w:rPr>
        <w:t>leadership reshuffle (May 5)</w:t>
      </w:r>
      <w:r>
        <w:rPr>
          <w:rFonts w:ascii="Calibri" w:hAnsi="Calibri"/>
          <w:color w:val="525866"/>
          <w:sz w:val="22"/>
        </w:rPr>
        <w:t xml:space="preserve"> — the planned retirement of President Chris Silcock and the external search for a new CTO signal meaningful organizational change heading into a critical demand inflection period. The $1B senior notes issuance is routine balance-sheet management.</w:t>
      </w:r>
    </w:p>
    <w:p>
      <w:pPr>
        <w:pStyle w:val="ListBullet"/>
        <w:ind w:left="360" w:hanging="360"/>
      </w:pPr>
      <w:r>
        <w:rPr>
          <w:rFonts w:ascii="Calibri" w:hAnsi="Calibri"/>
          <w:b/>
          <w:color w:val="525866"/>
          <w:sz w:val="22"/>
        </w:rPr>
        <w:t xml:space="preserve">May 5, 2026 — Leadership Reshuffle (8-K): </w:t>
      </w:r>
      <w:r>
        <w:rPr>
          <w:rFonts w:ascii="Calibri" w:hAnsi="Calibri"/>
          <w:color w:val="525866"/>
          <w:sz w:val="22"/>
        </w:rPr>
        <w:t xml:space="preserve">President of Global Brands &amp; Commercial Services Christopher W. Silcock announced retirement effective Q1 2027. Laura Fuentes (current CHRO) will become Chief Brand Officer; Chief Commercial Officer Chris Wilroy joins the Executive Committee; HLT is conducting an external search for a new </w:t>
      </w:r>
      <w:r>
        <w:rPr>
          <w:rFonts w:ascii="Calibri" w:hAnsi="Calibri"/>
          <w:b/>
          <w:color w:val="525866"/>
          <w:sz w:val="22"/>
        </w:rPr>
        <w:t>Chief Technology Officer</w:t>
      </w:r>
      <w:r>
        <w:rPr>
          <w:rFonts w:ascii="Calibri" w:hAnsi="Calibri"/>
          <w:color w:val="525866"/>
          <w:sz w:val="22"/>
        </w:rPr>
        <w:t>. Implication: Leadership transition during a key demand inflection period introduces execution risk, particularly around the AI/technology strategy that management has highlighted as a competitive differentiator. The external CTO search is notable given HLT’s emphasis on its cloud-based tech stack and 40+ active AI use cases.</w:t>
      </w:r>
    </w:p>
    <w:p>
      <w:pPr>
        <w:pStyle w:val="ListBullet"/>
        <w:ind w:left="360" w:hanging="360"/>
      </w:pPr>
      <w:r>
        <w:rPr>
          <w:rFonts w:ascii="Calibri" w:hAnsi="Calibri"/>
          <w:b/>
          <w:color w:val="525866"/>
          <w:sz w:val="22"/>
        </w:rPr>
        <w:t xml:space="preserve">May 11, 2026 — $1 Billion Senior Notes Offering (8-K): </w:t>
      </w:r>
      <w:r>
        <w:rPr>
          <w:rFonts w:ascii="Calibri" w:hAnsi="Calibri"/>
          <w:color w:val="525866"/>
          <w:sz w:val="22"/>
        </w:rPr>
        <w:t>Hilton Domestic Operating Co. issued $1B in 5.500% Senior Notes. Implication: Routine balance sheet management; proceeds likely used for debt refinancing or general corporate purposes. No material impact on near-term earnings.</w:t>
      </w:r>
    </w:p>
    <w:p>
      <w:pPr>
        <w:pStyle w:val="ListBullet"/>
        <w:ind w:left="360" w:hanging="360"/>
      </w:pPr>
      <w:r>
        <w:rPr>
          <w:rFonts w:ascii="Calibri" w:hAnsi="Calibri"/>
          <w:b/>
          <w:color w:val="525866"/>
          <w:sz w:val="22"/>
        </w:rPr>
        <w:t xml:space="preserve">May 18, 2026 — Incentive Plan Approved (8-K): </w:t>
      </w:r>
      <w:r>
        <w:rPr>
          <w:rFonts w:ascii="Calibri" w:hAnsi="Calibri"/>
          <w:color w:val="525866"/>
          <w:sz w:val="22"/>
        </w:rPr>
        <w:t>Shareholders approved an expanded equity incentive plan authorizing new shares. Implication: Modest dilution risk; standard for a company returning ~$3.5B to shareholders annually via buybacks and dividends.</w:t>
      </w:r>
    </w:p>
    <w:p>
      <w:pPr>
        <w:pStyle w:val="ListBullet"/>
        <w:ind w:left="360" w:hanging="360"/>
      </w:pPr>
      <w:r>
        <w:rPr>
          <w:rFonts w:ascii="Calibri" w:hAnsi="Calibri"/>
          <w:b/>
          <w:color w:val="525866"/>
          <w:sz w:val="22"/>
        </w:rPr>
        <w:t xml:space="preserve">June 30, 2026 — Q2 2026 Earnings Release Date Announced: </w:t>
      </w:r>
      <w:r>
        <w:rPr>
          <w:rFonts w:ascii="Calibri" w:hAnsi="Calibri"/>
          <w:color w:val="525866"/>
          <w:sz w:val="22"/>
        </w:rPr>
        <w:t>HLT announced the date for its Q2 2026 earnings release. Implication: Confirms the upcoming print is imminent.</w:t>
      </w:r>
    </w:p>
    <w:p>
      <w:pPr>
        <w:pStyle w:val="ListBullet"/>
        <w:ind w:left="360" w:hanging="360"/>
      </w:pPr>
      <w:r>
        <w:rPr>
          <w:rFonts w:ascii="Calibri" w:hAnsi="Calibri"/>
          <w:b/>
          <w:color w:val="525866"/>
          <w:sz w:val="22"/>
        </w:rPr>
        <w:t xml:space="preserve">Peer Read-Through — WH Q2 2026 Earnings (July 23, 2026): </w:t>
      </w:r>
      <w:r>
        <w:rPr>
          <w:rFonts w:ascii="Calibri" w:hAnsi="Calibri"/>
          <w:color w:val="525866"/>
          <w:sz w:val="22"/>
        </w:rPr>
        <w:t>Wyndham reported U.S. RevPAR +2%, 120bps ahead of expectations, with momentum accelerating from May into June. Strong leisure and everyday business travel trends continued into July. Positive read-through for HLT’s U.S. economy/select-service exposure.</w:t>
      </w:r>
    </w:p>
    <w:p>
      <w:pPr>
        <w:pStyle w:val="ListBullet"/>
        <w:ind w:left="360" w:hanging="360"/>
      </w:pPr>
      <w:r>
        <w:rPr>
          <w:rFonts w:ascii="Calibri" w:hAnsi="Calibri"/>
          <w:b/>
          <w:color w:val="525866"/>
          <w:sz w:val="22"/>
        </w:rPr>
        <w:t xml:space="preserve">Peer Read-Through — MAR Q1 2026 Earnings (May 6, 2026): </w:t>
      </w:r>
      <w:r>
        <w:rPr>
          <w:rFonts w:ascii="Calibri" w:hAnsi="Calibri"/>
          <w:color w:val="525866"/>
          <w:sz w:val="22"/>
        </w:rPr>
        <w:t>Marriott raised full-year RevPAR guidance to 2–3%, with group pace up ~5% for the year. Middle East expected to see ~50% RevPAR decline in Q2 — consistent with HLT’s guidance. Broadly positive for HLT’s group and U.S. business; Middle East headwind confirmed.</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w:t>
      </w:r>
      <w:r>
        <w:rPr>
          <w:rFonts w:ascii="Calibri" w:hAnsi="Calibri"/>
          <w:color w:val="525866"/>
          <w:sz w:val="22"/>
        </w:rPr>
        <w:t xml:space="preserve"> for HLT’s Q2 print — U.S. demand is accelerating, group is strong, and leisure trends are durable. The Middle East remains a shared headwind across the sector, but peers confirm Q2 is the peak impact quarter, consistent with HLT’s guidance. Note: this section covers only forward-looking commentary about Q2 2026 and beyond — backward-looking commentary about prior quarter results is excluded.</w:t>
      </w:r>
    </w:p>
    <w:p>
      <w:pPr>
        <w:pStyle w:val="Heading3"/>
      </w:pPr>
      <w:r>
        <w:rPr>
          <w:rFonts w:ascii="Calibri" w:hAnsi="Calibri"/>
          <w:b/>
          <w:color w:val="3B4259"/>
          <w:sz w:val="24"/>
        </w:rPr>
        <w:t>Wyndham Hotels &amp; Resorts (WH) — Q2 2026 Earnings Call (July 23, 2026)</w:t>
      </w:r>
    </w:p>
    <w:p>
      <w:r>
        <w:rPr>
          <w:rFonts w:ascii="Calibri" w:hAnsi="Calibri"/>
          <w:i/>
          <w:color w:val="525866"/>
          <w:sz w:val="22"/>
        </w:rPr>
        <w:t>Most directly relevant — WH just reported Q2 2026 results, providing the most current read on the demand environment heading into HLT’s print.</w:t>
      </w:r>
    </w:p>
    <w:p>
      <w:pPr>
        <w:pStyle w:val="ListBullet"/>
        <w:ind w:left="360" w:hanging="360"/>
      </w:pPr>
      <w:r>
        <w:rPr>
          <w:rFonts w:ascii="Calibri" w:hAnsi="Calibri"/>
          <w:b/>
          <w:color w:val="525866"/>
          <w:sz w:val="22"/>
        </w:rPr>
        <w:t xml:space="preserve">U.S. RevPAR beat — +2%, 120bps ahead of expectations: </w:t>
      </w:r>
      <w:r>
        <w:rPr>
          <w:rFonts w:ascii="Calibri" w:hAnsi="Calibri"/>
          <w:color w:val="525866"/>
          <w:sz w:val="22"/>
        </w:rPr>
        <w:t xml:space="preserve">Domestic RevPAR improved 200bps sequentially from Q1 to Q2, driven by both demand (+60bps) and ADR (+160bps). The three largest U.S. states by room count (Texas, California, Florida) improved 700bps sequentially, from -3% in Q1 to +4% in Q2. </w:t>
      </w:r>
      <w:r>
        <w:rPr>
          <w:rFonts w:ascii="Calibri" w:hAnsi="Calibri"/>
          <w:i/>
          <w:color w:val="525866"/>
          <w:sz w:val="22"/>
        </w:rPr>
        <w:t>Read-through: Positive for HLT’s U.S. select-service and economy exposure; suggests the demand inflection management called on the Q1 call is materializing.</w:t>
      </w:r>
    </w:p>
    <w:p>
      <w:pPr>
        <w:pStyle w:val="ListBullet"/>
        <w:ind w:left="360" w:hanging="360"/>
      </w:pPr>
      <w:r>
        <w:rPr>
          <w:rFonts w:ascii="Calibri" w:hAnsi="Calibri"/>
          <w:b/>
          <w:color w:val="525866"/>
          <w:sz w:val="22"/>
        </w:rPr>
        <w:t xml:space="preserve">Momentum accelerating into July: </w:t>
      </w:r>
      <w:r>
        <w:rPr>
          <w:rFonts w:ascii="Calibri" w:hAnsi="Calibri"/>
          <w:color w:val="525866"/>
          <w:sz w:val="22"/>
        </w:rPr>
        <w:t xml:space="preserve">"Strong leisure and everyday business travel trends continued into July." Excluding World Cup/America 250 impacts, July RevPAR growth was consistent with June. </w:t>
      </w:r>
      <w:r>
        <w:rPr>
          <w:rFonts w:ascii="Calibri" w:hAnsi="Calibri"/>
          <w:i/>
          <w:color w:val="525866"/>
          <w:sz w:val="22"/>
        </w:rPr>
        <w:t>Read-through: Positive for HLT’s Q2 exit rate and early Q3 setup.</w:t>
      </w:r>
    </w:p>
    <w:p>
      <w:pPr>
        <w:pStyle w:val="ListBullet"/>
        <w:ind w:left="360" w:hanging="360"/>
      </w:pPr>
      <w:r>
        <w:rPr>
          <w:rFonts w:ascii="Calibri" w:hAnsi="Calibri"/>
          <w:b/>
          <w:color w:val="525866"/>
          <w:sz w:val="22"/>
        </w:rPr>
        <w:t xml:space="preserve">Infrastructure demand driving mid-week occupancy: </w:t>
      </w:r>
      <w:r>
        <w:rPr>
          <w:rFonts w:ascii="Calibri" w:hAnsi="Calibri"/>
          <w:color w:val="525866"/>
          <w:sz w:val="22"/>
        </w:rPr>
        <w:t xml:space="preserve">Hotels near transportation, AI data center, and industrial projects are seeing strong mid-week occupancy gains, with weekday RevPAR up ~250bps from Q1. Industrial Midwest states (Illinois, Indiana, Iowa, Wisconsin, Ohio) all up 6–10%. </w:t>
      </w:r>
      <w:r>
        <w:rPr>
          <w:rFonts w:ascii="Calibri" w:hAnsi="Calibri"/>
          <w:i/>
          <w:color w:val="525866"/>
          <w:sz w:val="22"/>
        </w:rPr>
        <w:t>Read-through: Positive for HLT’s Hampton, Hilton Garden Inn, and Home2 Suites brands in similar markets.</w:t>
      </w:r>
    </w:p>
    <w:p>
      <w:pPr>
        <w:pStyle w:val="ListBullet"/>
        <w:ind w:left="360" w:hanging="360"/>
      </w:pPr>
      <w:r>
        <w:rPr>
          <w:rFonts w:ascii="Calibri" w:hAnsi="Calibri"/>
          <w:b/>
          <w:color w:val="525866"/>
          <w:sz w:val="22"/>
        </w:rPr>
        <w:t xml:space="preserve">Middle East drag confirmed — down 45% in Q2: </w:t>
      </w:r>
      <w:r>
        <w:rPr>
          <w:rFonts w:ascii="Calibri" w:hAnsi="Calibri"/>
          <w:color w:val="525866"/>
          <w:sz w:val="22"/>
        </w:rPr>
        <w:t xml:space="preserve">WH’s Middle East RevPAR fell 45% in Q2 (from -5% in Q1). Excluding Middle East and Revo, EMEA was up 5%. </w:t>
      </w:r>
      <w:r>
        <w:rPr>
          <w:rFonts w:ascii="Calibri" w:hAnsi="Calibri"/>
          <w:i/>
          <w:color w:val="525866"/>
          <w:sz w:val="22"/>
        </w:rPr>
        <w:t>Read-through: Confirms the Middle East headwind is real and severe in Q2, but also that ex-Middle East performance is solid — consistent with HLT’s framing.</w:t>
      </w:r>
    </w:p>
    <w:p>
      <w:pPr>
        <w:pStyle w:val="ListBullet"/>
        <w:ind w:left="360" w:hanging="360"/>
      </w:pPr>
      <w:r>
        <w:rPr>
          <w:rFonts w:ascii="Calibri" w:hAnsi="Calibri"/>
          <w:b/>
          <w:color w:val="525866"/>
          <w:sz w:val="22"/>
        </w:rPr>
        <w:t xml:space="preserve">Consumer health: middle-income consumer resilient: </w:t>
      </w:r>
      <w:r>
        <w:rPr>
          <w:rFonts w:ascii="Calibri" w:hAnsi="Calibri"/>
          <w:color w:val="525866"/>
          <w:sz w:val="22"/>
        </w:rPr>
        <w:t xml:space="preserve">WH noted middle-income consumers are "in relatively good shape" despite affordability concerns. Cancellation rates improving, booking lead times steady at ~15 days. Tax refunds expected to unlock $4B in additional domestic travel spend. </w:t>
      </w:r>
      <w:r>
        <w:rPr>
          <w:rFonts w:ascii="Calibri" w:hAnsi="Calibri"/>
          <w:i/>
          <w:color w:val="525866"/>
          <w:sz w:val="22"/>
        </w:rPr>
        <w:t>Read-through: Positive for HLT’s mid-scale and select-service brands.</w:t>
      </w:r>
    </w:p>
    <w:p>
      <w:pPr>
        <w:pStyle w:val="ListBullet"/>
        <w:ind w:left="360" w:hanging="360"/>
      </w:pPr>
      <w:r>
        <w:rPr>
          <w:rFonts w:ascii="Calibri" w:hAnsi="Calibri"/>
          <w:b/>
          <w:color w:val="525866"/>
          <w:sz w:val="22"/>
        </w:rPr>
        <w:t xml:space="preserve">Global RevPAR outlook raised to flat to +1%: </w:t>
      </w:r>
      <w:r>
        <w:rPr>
          <w:rFonts w:ascii="Calibri" w:hAnsi="Calibri"/>
          <w:color w:val="525866"/>
          <w:sz w:val="22"/>
        </w:rPr>
        <w:t xml:space="preserve">WH raised its global RevPAR outlook by 100bps at the low end, driven by U.S. outperformance. </w:t>
      </w:r>
      <w:r>
        <w:rPr>
          <w:rFonts w:ascii="Calibri" w:hAnsi="Calibri"/>
          <w:i/>
          <w:color w:val="525866"/>
          <w:sz w:val="22"/>
        </w:rPr>
        <w:t>Read-through: Positive signal for the broader lodging sector heading into HLT’s print.</w:t>
      </w:r>
    </w:p>
    <w:p>
      <w:pPr>
        <w:pStyle w:val="Heading3"/>
      </w:pPr>
      <w:r>
        <w:rPr>
          <w:rFonts w:ascii="Calibri" w:hAnsi="Calibri"/>
          <w:b/>
          <w:color w:val="3B4259"/>
          <w:sz w:val="24"/>
        </w:rPr>
        <w:t>Marriott International (MAR) — Q1 2026 Earnings Call (May 6, 2026)</w:t>
      </w:r>
    </w:p>
    <w:p>
      <w:r>
        <w:rPr>
          <w:rFonts w:ascii="Calibri" w:hAnsi="Calibri"/>
          <w:i/>
          <w:color w:val="525866"/>
          <w:sz w:val="22"/>
        </w:rPr>
        <w:t>Reported Q1 2026 results; forward-looking commentary about Q2 and full year is relevant for HLT’s setup.</w:t>
      </w:r>
    </w:p>
    <w:p>
      <w:pPr>
        <w:pStyle w:val="ListBullet"/>
        <w:ind w:left="360" w:hanging="360"/>
      </w:pPr>
      <w:r>
        <w:rPr>
          <w:rFonts w:ascii="Calibri" w:hAnsi="Calibri"/>
          <w:b/>
          <w:color w:val="525866"/>
          <w:sz w:val="22"/>
        </w:rPr>
        <w:t xml:space="preserve">Q2 global RevPAR guided 1.5–2.5%; Middle East ~50% decline in Q2: </w:t>
      </w:r>
      <w:r>
        <w:rPr>
          <w:rFonts w:ascii="Calibri" w:hAnsi="Calibri"/>
          <w:color w:val="525866"/>
          <w:sz w:val="22"/>
        </w:rPr>
        <w:t xml:space="preserve">MAR flagged Q2 as the "hardest hit quarter" for the Middle East, with ~50% RevPAR decline expected, improving sequentially through Q3 and Q4. </w:t>
      </w:r>
      <w:r>
        <w:rPr>
          <w:rFonts w:ascii="Calibri" w:hAnsi="Calibri"/>
          <w:i/>
          <w:color w:val="525866"/>
          <w:sz w:val="22"/>
        </w:rPr>
        <w:t>Read-through: Consistent with HLT’s Q2 guidance of 2–3%; both companies flagging Q2 as peak Middle East impact.</w:t>
      </w:r>
    </w:p>
    <w:p>
      <w:pPr>
        <w:pStyle w:val="ListBullet"/>
        <w:ind w:left="360" w:hanging="360"/>
      </w:pPr>
      <w:r>
        <w:rPr>
          <w:rFonts w:ascii="Calibri" w:hAnsi="Calibri"/>
          <w:b/>
          <w:color w:val="525866"/>
          <w:sz w:val="22"/>
        </w:rPr>
        <w:t xml:space="preserve">Group pace up ~5% for the year: </w:t>
      </w:r>
      <w:r>
        <w:rPr>
          <w:rFonts w:ascii="Calibri" w:hAnsi="Calibri"/>
          <w:color w:val="525866"/>
          <w:sz w:val="22"/>
        </w:rPr>
        <w:t xml:space="preserve">MAR noted group pace for the full year is up ~5%, with group expected to be "a nice driver of growth for the remainder of the year." </w:t>
      </w:r>
      <w:r>
        <w:rPr>
          <w:rFonts w:ascii="Calibri" w:hAnsi="Calibri"/>
          <w:i/>
          <w:color w:val="525866"/>
          <w:sz w:val="22"/>
        </w:rPr>
        <w:t>Read-through: Positive for HLT’s group business, which was up 4.3% in Q1 and is expected to lead RevPAR growth for the year.</w:t>
      </w:r>
    </w:p>
    <w:p>
      <w:pPr>
        <w:pStyle w:val="ListBullet"/>
        <w:ind w:left="360" w:hanging="360"/>
      </w:pPr>
      <w:r>
        <w:rPr>
          <w:rFonts w:ascii="Calibri" w:hAnsi="Calibri"/>
          <w:b/>
          <w:color w:val="525866"/>
          <w:sz w:val="22"/>
        </w:rPr>
        <w:t xml:space="preserve">U.S. demand drivers: tax refunds, domestic pivot, low supply growth: </w:t>
      </w:r>
      <w:r>
        <w:rPr>
          <w:rFonts w:ascii="Calibri" w:hAnsi="Calibri"/>
          <w:color w:val="525866"/>
          <w:sz w:val="22"/>
        </w:rPr>
        <w:t xml:space="preserve">MAR cited tax refunds, a pivot to domestic travel amid uncertainty, a shift to drive-to destinations, and relatively low U.S. supply growth as positive demand drivers. "Across demographics, we continue to see a prioritization of travel and experiences over consumption of hard goods." </w:t>
      </w:r>
      <w:r>
        <w:rPr>
          <w:rFonts w:ascii="Calibri" w:hAnsi="Calibri"/>
          <w:i/>
          <w:color w:val="525866"/>
          <w:sz w:val="22"/>
        </w:rPr>
        <w:t>Read-through: Positive for HLT’s U.S. portfolio across chain scales.</w:t>
      </w:r>
    </w:p>
    <w:p>
      <w:pPr>
        <w:pStyle w:val="ListBullet"/>
        <w:ind w:left="360" w:hanging="360"/>
      </w:pPr>
      <w:r>
        <w:rPr>
          <w:rFonts w:ascii="Calibri" w:hAnsi="Calibri"/>
          <w:b/>
          <w:color w:val="525866"/>
          <w:sz w:val="22"/>
        </w:rPr>
        <w:t xml:space="preserve">Select service RevPAR improved meaningfully: </w:t>
      </w:r>
      <w:r>
        <w:rPr>
          <w:rFonts w:ascii="Calibri" w:hAnsi="Calibri"/>
          <w:color w:val="525866"/>
          <w:sz w:val="22"/>
        </w:rPr>
        <w:t xml:space="preserve">MAR noted select service RevPAR grew 3.5% in Q1, a "meaningful improvement" from Q4 when it was down more than 1% YoY. </w:t>
      </w:r>
      <w:r>
        <w:rPr>
          <w:rFonts w:ascii="Calibri" w:hAnsi="Calibri"/>
          <w:i/>
          <w:color w:val="525866"/>
          <w:sz w:val="22"/>
        </w:rPr>
        <w:t>Read-through: Positive for HLT’s select-service brands (Hampton, Hilton Garden Inn, Home2 Suites), which represent a large portion of the portfolio.</w:t>
      </w:r>
    </w:p>
    <w:p>
      <w:pPr>
        <w:pStyle w:val="ListBullet"/>
        <w:ind w:left="360" w:hanging="360"/>
      </w:pPr>
      <w:r>
        <w:rPr>
          <w:rFonts w:ascii="Calibri" w:hAnsi="Calibri"/>
          <w:b/>
          <w:color w:val="525866"/>
          <w:sz w:val="22"/>
        </w:rPr>
        <w:t xml:space="preserve">Middle East: 100–125bps full-year RevPAR drag assumed: </w:t>
      </w:r>
      <w:r>
        <w:rPr>
          <w:rFonts w:ascii="Calibri" w:hAnsi="Calibri"/>
          <w:color w:val="525866"/>
          <w:sz w:val="22"/>
        </w:rPr>
        <w:t xml:space="preserve">MAR’s guidance assumes the Middle East conflict impacts full-year global RevPAR by 100–125bps. </w:t>
      </w:r>
      <w:r>
        <w:rPr>
          <w:rFonts w:ascii="Calibri" w:hAnsi="Calibri"/>
          <w:i/>
          <w:color w:val="525866"/>
          <w:sz w:val="22"/>
        </w:rPr>
        <w:t>Read-through: Consistent with HLT’s 0.5–1pt full-year drag estimate; both companies aligned on the magnitude.</w:t>
      </w:r>
    </w:p>
    <w:p>
      <w:pPr>
        <w:pStyle w:val="ListBullet"/>
        <w:ind w:left="360" w:hanging="360"/>
      </w:pPr>
      <w:r>
        <w:rPr>
          <w:rFonts w:ascii="Calibri" w:hAnsi="Calibri"/>
          <w:b/>
          <w:color w:val="525866"/>
          <w:sz w:val="22"/>
        </w:rPr>
        <w:t xml:space="preserve">World Cup adds 30–35bps to global RevPAR: </w:t>
      </w:r>
      <w:r>
        <w:rPr>
          <w:rFonts w:ascii="Calibri" w:hAnsi="Calibri"/>
          <w:color w:val="525866"/>
          <w:sz w:val="22"/>
        </w:rPr>
        <w:t xml:space="preserve">MAR noted the World Cup is expected to add 30–35bps to global RevPAR growth for the year. </w:t>
      </w:r>
      <w:r>
        <w:rPr>
          <w:rFonts w:ascii="Calibri" w:hAnsi="Calibri"/>
          <w:i/>
          <w:color w:val="525866"/>
          <w:sz w:val="22"/>
        </w:rPr>
        <w:t>Read-through: Modest positive for HLT’s global portfolio, particularly in host cities.</w:t>
      </w:r>
    </w:p>
    <w:p>
      <w:pPr>
        <w:pStyle w:val="Heading3"/>
      </w:pPr>
      <w:r>
        <w:rPr>
          <w:rFonts w:ascii="Calibri" w:hAnsi="Calibri"/>
          <w:b/>
          <w:color w:val="3B4259"/>
          <w:sz w:val="24"/>
        </w:rPr>
        <w:t>Hyatt Hotels (H) — Investor Day (May 28, 2026)</w:t>
      </w:r>
    </w:p>
    <w:p>
      <w:r>
        <w:rPr>
          <w:rFonts w:ascii="Calibri" w:hAnsi="Calibri"/>
          <w:i/>
          <w:color w:val="525866"/>
          <w:sz w:val="22"/>
        </w:rPr>
        <w:t>Forward-looking strategic commentary; relevant for industry demand outlook and premium segment read-through.</w:t>
      </w:r>
    </w:p>
    <w:p>
      <w:pPr>
        <w:pStyle w:val="ListBullet"/>
        <w:ind w:left="360" w:hanging="360"/>
      </w:pPr>
      <w:r>
        <w:rPr>
          <w:rFonts w:ascii="Calibri" w:hAnsi="Calibri"/>
          <w:b/>
          <w:color w:val="525866"/>
          <w:sz w:val="22"/>
        </w:rPr>
        <w:t xml:space="preserve">RevPAR CAGR of 2–4% through 2028: </w:t>
      </w:r>
      <w:r>
        <w:rPr>
          <w:rFonts w:ascii="Calibri" w:hAnsi="Calibri"/>
          <w:color w:val="525866"/>
          <w:sz w:val="22"/>
        </w:rPr>
        <w:t xml:space="preserve">Hyatt guided global system-wide RevPAR to grow at a compounded rate of 2–4% between 2025 and 2028, underpinned by a "strong and resilient higher-end guest base." </w:t>
      </w:r>
      <w:r>
        <w:rPr>
          <w:rFonts w:ascii="Calibri" w:hAnsi="Calibri"/>
          <w:i/>
          <w:color w:val="525866"/>
          <w:sz w:val="22"/>
        </w:rPr>
        <w:t>Read-through: Constructive for the broader lodging sector’s multi-year demand outlook; consistent with HLT’s 2–3% full-year 2026 guidance.</w:t>
      </w:r>
    </w:p>
    <w:p>
      <w:pPr>
        <w:pStyle w:val="ListBullet"/>
        <w:ind w:left="360" w:hanging="360"/>
      </w:pPr>
      <w:r>
        <w:rPr>
          <w:rFonts w:ascii="Calibri" w:hAnsi="Calibri"/>
          <w:b/>
          <w:color w:val="525866"/>
          <w:sz w:val="22"/>
        </w:rPr>
        <w:t xml:space="preserve">High-end traveler resilience: </w:t>
      </w:r>
      <w:r>
        <w:rPr>
          <w:rFonts w:ascii="Calibri" w:hAnsi="Calibri"/>
          <w:color w:val="525866"/>
          <w:sz w:val="22"/>
        </w:rPr>
        <w:t xml:space="preserve">"Even as U.S. travel demand has recently shown more variability across income levels, our performance has remained consistent, durable and very strong." Nearly 40% of Hyatt guests are in Visa’s top quintile affluence category. </w:t>
      </w:r>
      <w:r>
        <w:rPr>
          <w:rFonts w:ascii="Calibri" w:hAnsi="Calibri"/>
          <w:i/>
          <w:color w:val="525866"/>
          <w:sz w:val="22"/>
        </w:rPr>
        <w:t>Read-through: Positive for HLT’s luxury and upper-upscale brands (Waldorf Astoria, Conrad, Curio); suggests the premium end of the market remains robust.</w:t>
      </w:r>
    </w:p>
    <w:p>
      <w:pPr>
        <w:pStyle w:val="ListBullet"/>
        <w:ind w:left="360" w:hanging="360"/>
      </w:pPr>
      <w:r>
        <w:rPr>
          <w:rFonts w:ascii="Calibri" w:hAnsi="Calibri"/>
          <w:b/>
          <w:color w:val="525866"/>
          <w:sz w:val="22"/>
        </w:rPr>
        <w:t xml:space="preserve">Group demand strong — ~25% of U.S. revenue: </w:t>
      </w:r>
      <w:r>
        <w:rPr>
          <w:rFonts w:ascii="Calibri" w:hAnsi="Calibri"/>
          <w:color w:val="525866"/>
          <w:sz w:val="22"/>
        </w:rPr>
        <w:t xml:space="preserve">Meetings represent ~25% of Hyatt’s U.S. revenue, with pharma sector showing "great strength." Growing share with 70% of top 30 corporate accounts. </w:t>
      </w:r>
      <w:r>
        <w:rPr>
          <w:rFonts w:ascii="Calibri" w:hAnsi="Calibri"/>
          <w:i/>
          <w:color w:val="525866"/>
          <w:sz w:val="22"/>
        </w:rPr>
        <w:t>Read-through: Positive for HLT’s group business; consistent with HLT’s Q1 commentary that group RevPAR was up 4.3% and corporate lead volumes are growing.</w:t>
      </w:r>
    </w:p>
    <w:p>
      <w:pPr>
        <w:pStyle w:val="ListBullet"/>
        <w:ind w:left="360" w:hanging="360"/>
      </w:pPr>
      <w:r>
        <w:rPr>
          <w:rFonts w:ascii="Calibri" w:hAnsi="Calibri"/>
          <w:b/>
          <w:color w:val="525866"/>
          <w:sz w:val="22"/>
        </w:rPr>
        <w:t xml:space="preserve">Leisure outperforming other segments: </w:t>
      </w:r>
      <w:r>
        <w:rPr>
          <w:rFonts w:ascii="Calibri" w:hAnsi="Calibri"/>
          <w:color w:val="525866"/>
          <w:sz w:val="22"/>
        </w:rPr>
        <w:t xml:space="preserve">"Fundamentals in leisure are outperforming other segments." All-inclusive segment seeing strong growth, with 70%+ of travelers under 30 more likely to consider all-inclusive than 5 years ago. </w:t>
      </w:r>
      <w:r>
        <w:rPr>
          <w:rFonts w:ascii="Calibri" w:hAnsi="Calibri"/>
          <w:i/>
          <w:color w:val="525866"/>
          <w:sz w:val="22"/>
        </w:rPr>
        <w:t>Read-through: Positive for HLT’s leisure-oriented brands and international resort properties.</w:t>
      </w:r>
    </w:p>
    <w:p>
      <w:pPr>
        <w:pStyle w:val="ListBullet"/>
        <w:ind w:left="360" w:hanging="360"/>
      </w:pPr>
      <w:r>
        <w:rPr>
          <w:rFonts w:ascii="Calibri" w:hAnsi="Calibri"/>
          <w:b/>
          <w:color w:val="525866"/>
          <w:sz w:val="22"/>
        </w:rPr>
        <w:t xml:space="preserve">Middle East/Mexico events don’t impact long-term prospects: </w:t>
      </w:r>
      <w:r>
        <w:rPr>
          <w:rFonts w:ascii="Calibri" w:hAnsi="Calibri"/>
          <w:color w:val="525866"/>
          <w:sz w:val="22"/>
        </w:rPr>
        <w:t xml:space="preserve">Hyatt acknowledged "the hurricane in Jamaica and the recent events in Mexico and the Middle East don’t impact our long-term growth prospects." </w:t>
      </w:r>
      <w:r>
        <w:rPr>
          <w:rFonts w:ascii="Calibri" w:hAnsi="Calibri"/>
          <w:i/>
          <w:color w:val="525866"/>
          <w:sz w:val="22"/>
        </w:rPr>
        <w:t>Read-through: Consistent with HLT’s framing that Middle East is a near-term headwind, not a structural issue.</w:t>
      </w:r>
    </w:p>
    <w:p>
      <w:pPr>
        <w:pStyle w:val="Heading3"/>
      </w:pPr>
      <w:r>
        <w:rPr>
          <w:rFonts w:ascii="Calibri" w:hAnsi="Calibri"/>
          <w:b/>
          <w:color w:val="3B4259"/>
          <w:sz w:val="24"/>
        </w:rPr>
        <w:t>Choice Hotels International (CHH) — Q1 2026 Earnings Call (April 30, 2026)</w:t>
      </w:r>
    </w:p>
    <w:p>
      <w:r>
        <w:rPr>
          <w:rFonts w:ascii="Calibri" w:hAnsi="Calibri"/>
          <w:i/>
          <w:color w:val="525866"/>
          <w:sz w:val="22"/>
        </w:rPr>
        <w:t>Reported Q1 2026; forward-looking commentary about Q2 and full year is relevant for HLT’s economy and mid-scale segment read-through.</w:t>
      </w:r>
    </w:p>
    <w:p>
      <w:pPr>
        <w:pStyle w:val="ListBullet"/>
        <w:ind w:left="360" w:hanging="360"/>
      </w:pPr>
      <w:r>
        <w:rPr>
          <w:rFonts w:ascii="Calibri" w:hAnsi="Calibri"/>
          <w:b/>
          <w:color w:val="525866"/>
          <w:sz w:val="22"/>
        </w:rPr>
        <w:t xml:space="preserve">April trends positive; Q2/Q3 to benefit from event-driven travel: </w:t>
      </w:r>
      <w:r>
        <w:rPr>
          <w:rFonts w:ascii="Calibri" w:hAnsi="Calibri"/>
          <w:color w:val="525866"/>
          <w:sz w:val="22"/>
        </w:rPr>
        <w:t xml:space="preserve">"Preliminary April trends remain positive." Management expects Q2 and Q3 to benefit from summer drive travel, FIFA World Cup, and U.S. 250th anniversary. </w:t>
      </w:r>
      <w:r>
        <w:rPr>
          <w:rFonts w:ascii="Calibri" w:hAnsi="Calibri"/>
          <w:i/>
          <w:color w:val="525866"/>
          <w:sz w:val="22"/>
        </w:rPr>
        <w:t>Read-through: Positive for HLT’s economy and mid-scale brands; event-driven demand is a tailwind for the broader sector.</w:t>
      </w:r>
    </w:p>
    <w:p>
      <w:pPr>
        <w:pStyle w:val="ListBullet"/>
        <w:ind w:left="360" w:hanging="360"/>
      </w:pPr>
      <w:r>
        <w:rPr>
          <w:rFonts w:ascii="Calibri" w:hAnsi="Calibri"/>
          <w:b/>
          <w:color w:val="525866"/>
          <w:sz w:val="22"/>
        </w:rPr>
        <w:t xml:space="preserve">Small/mid-size business revenue up 14%, group up 9%: </w:t>
      </w:r>
      <w:r>
        <w:rPr>
          <w:rFonts w:ascii="Calibri" w:hAnsi="Calibri"/>
          <w:color w:val="525866"/>
          <w:sz w:val="22"/>
        </w:rPr>
        <w:t xml:space="preserve">CHH reported strong business and group performance in Q1. "We are seeing continued strength in small and midsized business travelers and group demand." </w:t>
      </w:r>
      <w:r>
        <w:rPr>
          <w:rFonts w:ascii="Calibri" w:hAnsi="Calibri"/>
          <w:i/>
          <w:color w:val="525866"/>
          <w:sz w:val="22"/>
        </w:rPr>
        <w:t>Read-through: Positive for HLT’s select-service and focused-service brands that cater to similar customer segments.</w:t>
      </w:r>
    </w:p>
    <w:p>
      <w:pPr>
        <w:pStyle w:val="ListBullet"/>
        <w:ind w:left="360" w:hanging="360"/>
      </w:pPr>
      <w:r>
        <w:rPr>
          <w:rFonts w:ascii="Calibri" w:hAnsi="Calibri"/>
          <w:b/>
          <w:color w:val="525866"/>
          <w:sz w:val="22"/>
        </w:rPr>
        <w:t xml:space="preserve">Consumer resilient despite gas prices: </w:t>
      </w:r>
      <w:r>
        <w:rPr>
          <w:rFonts w:ascii="Calibri" w:hAnsi="Calibri"/>
          <w:color w:val="525866"/>
          <w:sz w:val="22"/>
        </w:rPr>
        <w:t xml:space="preserve">"The consumer has been pretty resilient given the rise in gas prices." Continuing strength in the consumer over the last two months. </w:t>
      </w:r>
      <w:r>
        <w:rPr>
          <w:rFonts w:ascii="Calibri" w:hAnsi="Calibri"/>
          <w:i/>
          <w:color w:val="525866"/>
          <w:sz w:val="22"/>
        </w:rPr>
        <w:t>Read-through: Positive for HLT’s mid-scale and economy exposure; suggests demand durability.</w:t>
      </w:r>
    </w:p>
    <w:p>
      <w:pPr>
        <w:pStyle w:val="ListBullet"/>
        <w:ind w:left="360" w:hanging="360"/>
      </w:pPr>
      <w:r>
        <w:rPr>
          <w:rFonts w:ascii="Calibri" w:hAnsi="Calibri"/>
          <w:b/>
          <w:color w:val="525866"/>
          <w:sz w:val="22"/>
        </w:rPr>
        <w:t xml:space="preserve">Infrastructure/workforce travel driving demand: </w:t>
      </w:r>
      <w:r>
        <w:rPr>
          <w:rFonts w:ascii="Calibri" w:hAnsi="Calibri"/>
          <w:color w:val="525866"/>
          <w:sz w:val="22"/>
        </w:rPr>
        <w:t xml:space="preserve">Employment growth in healthcare, construction, and utilities driving workforce-based travel. </w:t>
      </w:r>
      <w:r>
        <w:rPr>
          <w:rFonts w:ascii="Calibri" w:hAnsi="Calibri"/>
          <w:i/>
          <w:color w:val="525866"/>
          <w:sz w:val="22"/>
        </w:rPr>
        <w:t>Read-through: Consistent with WH’s infrastructure demand commentary; positive for HLT’s select-service brands.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transactions since the Q1 earnings date are director stock awards (grants), not open-market purchases or sales. </w:t>
      </w:r>
      <w:r>
        <w:rPr>
          <w:rFonts w:ascii="Calibri" w:hAnsi="Calibri"/>
          <w:b/>
          <w:color w:val="525866"/>
          <w:sz w:val="22"/>
        </w:rPr>
        <w:t>No open-market buys or sells have been filed by any executive officer or director</w:t>
      </w:r>
      <w:r>
        <w:rPr>
          <w:rFonts w:ascii="Calibri" w:hAnsi="Calibri"/>
          <w:color w:val="525866"/>
          <w:sz w:val="22"/>
        </w:rPr>
        <w:t xml:space="preserve"> — the absence of discretionary insider buying is neutral, not a negative signal given the award-only nature of all activity.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Disclosed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Charlene T. Begley</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director equity compensation</w:t>
            </w:r>
          </w:p>
        </w:tc>
      </w:tr>
      <w:tr>
        <w:tc>
          <w:tcPr>
            <w:tcW w:type="dxa" w:w="1234"/>
          </w:tcPr>
          <w:p>
            <w:r>
              <w:rPr>
                <w:rFonts w:ascii="Calibri" w:hAnsi="Calibri"/>
                <w:sz w:val="22"/>
              </w:rPr>
              <w:t>Chris Carr</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director equity compensation</w:t>
            </w:r>
          </w:p>
        </w:tc>
      </w:tr>
      <w:tr>
        <w:tc>
          <w:tcPr>
            <w:tcW w:type="dxa" w:w="1234"/>
          </w:tcPr>
          <w:p>
            <w:r>
              <w:rPr>
                <w:rFonts w:ascii="Calibri" w:hAnsi="Calibri"/>
                <w:sz w:val="22"/>
              </w:rPr>
              <w:t>Jonathan Gray</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 + 104</w:t>
            </w:r>
          </w:p>
        </w:tc>
        <w:tc>
          <w:tcPr>
            <w:tcW w:type="dxa" w:w="1234"/>
          </w:tcPr>
          <w:p>
            <w:r>
              <w:rPr>
                <w:rFonts w:ascii="Calibri" w:hAnsi="Calibri"/>
                <w:sz w:val="22"/>
              </w:rPr>
              <w:t>May 14 &amp; May 1, 2026</w:t>
            </w:r>
          </w:p>
        </w:tc>
        <w:tc>
          <w:tcPr>
            <w:tcW w:type="dxa" w:w="1234"/>
          </w:tcPr>
          <w:p>
            <w:r>
              <w:rPr>
                <w:rFonts w:ascii="Calibri" w:hAnsi="Calibri"/>
                <w:sz w:val="22"/>
              </w:rPr>
              <w:t>May 18 &amp; May 5, 2026</w:t>
            </w:r>
          </w:p>
        </w:tc>
        <w:tc>
          <w:tcPr>
            <w:tcW w:type="dxa" w:w="1234"/>
          </w:tcPr>
          <w:p>
            <w:r>
              <w:rPr>
                <w:rFonts w:ascii="Calibri" w:hAnsi="Calibri"/>
                <w:sz w:val="22"/>
              </w:rPr>
              <w:t>Routine director equity compensation (two grants)</w:t>
            </w:r>
          </w:p>
        </w:tc>
      </w:tr>
      <w:tr>
        <w:tc>
          <w:tcPr>
            <w:tcW w:type="dxa" w:w="1234"/>
          </w:tcPr>
          <w:p>
            <w:r>
              <w:rPr>
                <w:rFonts w:ascii="Calibri" w:hAnsi="Calibri"/>
                <w:sz w:val="22"/>
              </w:rPr>
              <w:t>Melanie Healey</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director equity compensation</w:t>
            </w:r>
          </w:p>
        </w:tc>
      </w:tr>
      <w:tr>
        <w:tc>
          <w:tcPr>
            <w:tcW w:type="dxa" w:w="1234"/>
          </w:tcPr>
          <w:p>
            <w:r>
              <w:rPr>
                <w:rFonts w:ascii="Calibri" w:hAnsi="Calibri"/>
                <w:sz w:val="22"/>
              </w:rPr>
              <w:t>Raymond E. Mabus</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director equity compensation</w:t>
            </w:r>
          </w:p>
        </w:tc>
      </w:tr>
      <w:tr>
        <w:tc>
          <w:tcPr>
            <w:tcW w:type="dxa" w:w="1234"/>
          </w:tcPr>
          <w:p>
            <w:r>
              <w:rPr>
                <w:rFonts w:ascii="Calibri" w:hAnsi="Calibri"/>
                <w:sz w:val="22"/>
              </w:rPr>
              <w:t>Marissa A. Mayer</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 + 115</w:t>
            </w:r>
          </w:p>
        </w:tc>
        <w:tc>
          <w:tcPr>
            <w:tcW w:type="dxa" w:w="1234"/>
          </w:tcPr>
          <w:p>
            <w:r>
              <w:rPr>
                <w:rFonts w:ascii="Calibri" w:hAnsi="Calibri"/>
                <w:sz w:val="22"/>
              </w:rPr>
              <w:t>May 14 &amp; May 1, 2026</w:t>
            </w:r>
          </w:p>
        </w:tc>
        <w:tc>
          <w:tcPr>
            <w:tcW w:type="dxa" w:w="1234"/>
          </w:tcPr>
          <w:p>
            <w:r>
              <w:rPr>
                <w:rFonts w:ascii="Calibri" w:hAnsi="Calibri"/>
                <w:sz w:val="22"/>
              </w:rPr>
              <w:t>May 18 &amp; May 5, 2026</w:t>
            </w:r>
          </w:p>
        </w:tc>
        <w:tc>
          <w:tcPr>
            <w:tcW w:type="dxa" w:w="1234"/>
          </w:tcPr>
          <w:p>
            <w:r>
              <w:rPr>
                <w:rFonts w:ascii="Calibri" w:hAnsi="Calibri"/>
                <w:sz w:val="22"/>
              </w:rPr>
              <w:t>Routine director equity compensation (two grants)</w:t>
            </w:r>
          </w:p>
        </w:tc>
      </w:tr>
      <w:tr>
        <w:tc>
          <w:tcPr>
            <w:tcW w:type="dxa" w:w="1234"/>
          </w:tcPr>
          <w:p>
            <w:r>
              <w:rPr>
                <w:rFonts w:ascii="Calibri" w:hAnsi="Calibri"/>
                <w:sz w:val="22"/>
              </w:rPr>
              <w:t>Elizabeth A. Smith</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 + 145</w:t>
            </w:r>
          </w:p>
        </w:tc>
        <w:tc>
          <w:tcPr>
            <w:tcW w:type="dxa" w:w="1234"/>
          </w:tcPr>
          <w:p>
            <w:r>
              <w:rPr>
                <w:rFonts w:ascii="Calibri" w:hAnsi="Calibri"/>
                <w:sz w:val="22"/>
              </w:rPr>
              <w:t>May 14 &amp; May 1, 2026</w:t>
            </w:r>
          </w:p>
        </w:tc>
        <w:tc>
          <w:tcPr>
            <w:tcW w:type="dxa" w:w="1234"/>
          </w:tcPr>
          <w:p>
            <w:r>
              <w:rPr>
                <w:rFonts w:ascii="Calibri" w:hAnsi="Calibri"/>
                <w:sz w:val="22"/>
              </w:rPr>
              <w:t>May 18 &amp; May 5, 2026</w:t>
            </w:r>
          </w:p>
        </w:tc>
        <w:tc>
          <w:tcPr>
            <w:tcW w:type="dxa" w:w="1234"/>
          </w:tcPr>
          <w:p>
            <w:r>
              <w:rPr>
                <w:rFonts w:ascii="Calibri" w:hAnsi="Calibri"/>
                <w:sz w:val="22"/>
              </w:rPr>
              <w:t>Routine director equity compensation (two grants)</w:t>
            </w:r>
          </w:p>
        </w:tc>
      </w:tr>
      <w:tr>
        <w:tc>
          <w:tcPr>
            <w:tcW w:type="dxa" w:w="1234"/>
          </w:tcPr>
          <w:p>
            <w:r>
              <w:rPr>
                <w:rFonts w:ascii="Calibri" w:hAnsi="Calibri"/>
                <w:sz w:val="22"/>
              </w:rPr>
              <w:t>Douglas M. Steenland</w:t>
            </w:r>
          </w:p>
        </w:tc>
        <w:tc>
          <w:tcPr>
            <w:tcW w:type="dxa" w:w="1234"/>
          </w:tcPr>
          <w:p>
            <w:r>
              <w:rPr>
                <w:rFonts w:ascii="Calibri" w:hAnsi="Calibri"/>
                <w:sz w:val="22"/>
              </w:rPr>
              <w:t>Director</w:t>
            </w:r>
          </w:p>
        </w:tc>
        <w:tc>
          <w:tcPr>
            <w:tcW w:type="dxa" w:w="1234"/>
          </w:tcPr>
          <w:p>
            <w:r>
              <w:rPr>
                <w:rFonts w:ascii="Calibri" w:hAnsi="Calibri"/>
                <w:sz w:val="22"/>
              </w:rPr>
              <w:t>Stock Award (Grant)</w:t>
            </w:r>
          </w:p>
        </w:tc>
        <w:tc>
          <w:tcPr>
            <w:tcW w:type="dxa" w:w="1234"/>
          </w:tcPr>
          <w:p>
            <w:r>
              <w:rPr>
                <w:rFonts w:ascii="Calibri" w:hAnsi="Calibri"/>
                <w:sz w:val="22"/>
              </w:rPr>
              <w:t>742</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Routine director equity compensation</w:t>
            </w:r>
          </w:p>
        </w:tc>
      </w:tr>
      <w:tr>
        <w:tc>
          <w:tcPr>
            <w:tcW w:type="dxa" w:w="1234"/>
          </w:tcPr>
          <w:p>
            <w:r>
              <w:rPr>
                <w:rFonts w:ascii="Calibri" w:hAnsi="Calibri"/>
                <w:sz w:val="22"/>
              </w:rPr>
              <w:t>Multiple Directors (8)</w:t>
            </w:r>
          </w:p>
        </w:tc>
        <w:tc>
          <w:tcPr>
            <w:tcW w:type="dxa" w:w="1234"/>
          </w:tcPr>
          <w:p>
            <w:r>
              <w:rPr>
                <w:rFonts w:ascii="Calibri" w:hAnsi="Calibri"/>
                <w:sz w:val="22"/>
              </w:rPr>
              <w:t>Directors</w:t>
            </w:r>
          </w:p>
        </w:tc>
        <w:tc>
          <w:tcPr>
            <w:tcW w:type="dxa" w:w="1234"/>
          </w:tcPr>
          <w:p>
            <w:r>
              <w:rPr>
                <w:rFonts w:ascii="Calibri" w:hAnsi="Calibri"/>
                <w:sz w:val="22"/>
              </w:rPr>
              <w:t>Stock Award (Grant)</w:t>
            </w:r>
          </w:p>
        </w:tc>
        <w:tc>
          <w:tcPr>
            <w:tcW w:type="dxa" w:w="1234"/>
          </w:tcPr>
          <w:p>
            <w:r>
              <w:rPr>
                <w:rFonts w:ascii="Calibri" w:hAnsi="Calibri"/>
                <w:sz w:val="22"/>
              </w:rPr>
              <w:t>~5–9 shares each</w:t>
            </w:r>
          </w:p>
        </w:tc>
        <w:tc>
          <w:tcPr>
            <w:tcW w:type="dxa" w:w="1234"/>
          </w:tcPr>
          <w:p>
            <w:r>
              <w:rPr>
                <w:rFonts w:ascii="Calibri" w:hAnsi="Calibri"/>
                <w:sz w:val="22"/>
              </w:rPr>
              <w:t>June 30, 2026</w:t>
            </w:r>
          </w:p>
        </w:tc>
        <w:tc>
          <w:tcPr>
            <w:tcW w:type="dxa" w:w="1234"/>
          </w:tcPr>
          <w:p>
            <w:r>
              <w:rPr>
                <w:rFonts w:ascii="Calibri" w:hAnsi="Calibri"/>
                <w:sz w:val="22"/>
              </w:rPr>
              <w:t>July 1, 2026</w:t>
            </w:r>
          </w:p>
        </w:tc>
        <w:tc>
          <w:tcPr>
            <w:tcW w:type="dxa" w:w="1234"/>
          </w:tcPr>
          <w:p>
            <w:r>
              <w:rPr>
                <w:rFonts w:ascii="Calibri" w:hAnsi="Calibri"/>
                <w:sz w:val="22"/>
              </w:rPr>
              <w:t>Small fractional quarterly dividend reinvestment awards</w:t>
            </w:r>
          </w:p>
        </w:tc>
      </w:tr>
    </w:tbl>
    <w:p>
      <w:r>
        <w:rPr>
          <w:rFonts w:ascii="Calibri" w:hAnsi="Calibri"/>
          <w:i/>
          <w:color w:val="525866"/>
          <w:sz w:val="22"/>
        </w:rPr>
        <w:t>Source: SEC Form 4 filings. All transactions are Form 4 code “A” (awards/grants), not open-market purchases (code “P”) or sales (code “S”). No executive officers (CEO, CFO, COO) have filed any Form 4 transactions in the period. The absence of open-market buying by executives is neutral given the award-only nature of all activity.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