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Hilton Worldwide Holdings (HLT)</w:t>
      </w:r>
    </w:p>
    <w:p>
      <w:pPr>
        <w:pStyle w:val="Heading2"/>
      </w:pPr>
      <w:r>
        <w:rPr>
          <w:rFonts w:ascii="Calibri" w:hAnsi="Calibri"/>
          <w:b/>
          <w:color w:val="3B4259"/>
          <w:sz w:val="28"/>
        </w:rPr>
        <w:t>Q2 2026 Earnings Preview</w:t>
      </w:r>
    </w:p>
    <w:p>
      <w:r>
        <w:rPr>
          <w:rFonts w:ascii="Calibri" w:hAnsi="Calibri"/>
          <w:b/>
          <w:color w:val="525866"/>
          <w:sz w:val="22"/>
        </w:rPr>
        <w:t xml:space="preserve">Earnings Date: </w:t>
      </w:r>
      <w:r>
        <w:rPr>
          <w:rFonts w:ascii="Calibri" w:hAnsi="Calibri"/>
          <w:color w:val="525866"/>
          <w:sz w:val="22"/>
        </w:rPr>
        <w:t xml:space="preserve">July 28, 2026 (Before Market Open)  </w:t>
      </w:r>
      <w:r>
        <w:rPr>
          <w:rFonts w:ascii="Calibri" w:hAnsi="Calibri"/>
          <w:b/>
          <w:color w:val="525866"/>
          <w:sz w:val="22"/>
        </w:rPr>
        <w:t xml:space="preserve">Prepared: </w:t>
      </w:r>
      <w:r>
        <w:rPr>
          <w:rFonts w:ascii="Calibri" w:hAnsi="Calibri"/>
          <w:color w:val="525866"/>
          <w:sz w:val="22"/>
        </w:rPr>
        <w:t xml:space="preserve">July 28, 2026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Setup is modestly constructive — consensus has drifted higher since the Q1 print and now sits above initial guidance, but the Middle East drag and tough Q2 2025 comp create a narrower-than-usual margin for error; </w:t>
      </w:r>
      <w:r>
        <w:rPr>
          <w:rFonts w:ascii="Calibri" w:hAnsi="Calibri"/>
          <w:color w:val="525866"/>
          <w:sz w:val="22"/>
        </w:rPr>
        <w:t>RevPAR is the swing factor, and peer data from Wyndham and Marriott suggest the quarter likely came in at or above the 2–3% guidance range.</w:t>
      </w:r>
    </w:p>
    <w:p>
      <w:r>
        <w:rPr>
          <w:rFonts w:ascii="Calibri" w:hAnsi="Calibri"/>
          <w:color w:val="525866"/>
          <w:sz w:val="22"/>
        </w:rPr>
        <w:t>Heading into Q2 2026 results, the bar for HLT is set at system-wide RevPAR growth of 2–3% (guidance midpoint ~2.5%), Adjusted EBITDA of $1.015–$1.035B, and Adjusted EPS of $2.18–$2.24. Consensus has crept above the guidance midpoint on all three metrics — current street estimates sit at ~3.4% RevPAR growth, ~$1.039B EBITDA, and ~$2.28 EPS — suggesting the market is already pricing in a modest beat. Management's tone on the Q1 call was explicitly optimistic about April trends and the "C-shaped economy" convergence, but was deliberately conservative on the Middle East (guiding for ~50% RevPAR decline in the region, a ~1.5pt system-wide drag), and flagged one-time items that make the year-over-year EBITDA comparison look optically soft. Estimate revisions have been constructive: the post-Q1 baseline for Q2 EPS was $2.24, and the street has since nudged it to $2.28, while RevPAR consensus moved from 2.3% to 3.4% — a meaningful step-up that reflects improving peer data points from Wyndham (U.S. RevPAR +2%, 120bps ahead of expectations) and Marriott (U.S. &amp; Canada RevPAR +4% in April). The stock has rallied ~2.3% since the Q1 print (vs. XLY -5.4%), suggesting the market has partially priced in a beat, though the NTM EV/EBITDA multiple has compressed from ~23.5x to ~22.4x, meaning the move is earnings-driven rather than multiple-expansion. The key wildcard is the Middle East: if the conflict de-escalated faster than assumed (Wyndham and Hyatt both noted sequential improvement in May vs. April), HLT could beat on RevPAR and raise full-year guidance — the single most important catalyst for the stock.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above guidance midpoints on all key metrics, implying the street is already pricing in a beat; </w:t>
      </w:r>
      <w:r>
        <w:rPr>
          <w:rFonts w:ascii="Calibri" w:hAnsi="Calibri"/>
          <w:b/>
          <w:color w:val="525866"/>
          <w:sz w:val="22"/>
        </w:rPr>
        <w:t>RevPAR growth is the bigger swing factor</w:t>
      </w:r>
      <w:r>
        <w:rPr>
          <w:rFonts w:ascii="Calibri" w:hAnsi="Calibri"/>
          <w:color w:val="525866"/>
          <w:sz w:val="22"/>
        </w:rPr>
        <w:t xml:space="preserve"> — at 3.4% vs. 2.5% guidance midpoint, there is meaningful upside embedded in estimates that could disappoint if the Middle East drag was worse than feared.</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System-Wide RevPAR Growth (%)</w:t>
            </w:r>
          </w:p>
        </w:tc>
        <w:tc>
          <w:tcPr>
            <w:tcW w:type="dxa" w:w="1234"/>
          </w:tcPr>
          <w:p>
            <w:r>
              <w:rPr>
                <w:rFonts w:ascii="Calibri" w:hAnsi="Calibri"/>
                <w:sz w:val="22"/>
              </w:rPr>
              <w:t>+3.6%</w:t>
            </w:r>
          </w:p>
        </w:tc>
        <w:tc>
          <w:tcPr>
            <w:tcW w:type="dxa" w:w="1234"/>
          </w:tcPr>
          <w:p>
            <w:r>
              <w:rPr>
                <w:rFonts w:ascii="Calibri" w:hAnsi="Calibri"/>
                <w:sz w:val="22"/>
              </w:rPr>
              <w:t>-0.5%</w:t>
            </w:r>
          </w:p>
        </w:tc>
        <w:tc>
          <w:tcPr>
            <w:tcW w:type="dxa" w:w="1234"/>
          </w:tcPr>
          <w:p>
            <w:r>
              <w:rPr>
                <w:rFonts w:ascii="Calibri" w:hAnsi="Calibri"/>
                <w:sz w:val="22"/>
              </w:rPr>
              <w:t>+3.4%</w:t>
            </w:r>
          </w:p>
        </w:tc>
        <w:tc>
          <w:tcPr>
            <w:tcW w:type="dxa" w:w="1234"/>
          </w:tcPr>
          <w:p>
            <w:r>
              <w:rPr>
                <w:rFonts w:ascii="Calibri" w:hAnsi="Calibri"/>
                <w:sz w:val="22"/>
              </w:rPr>
              <w:t>+3.9 pts YoY</w:t>
            </w:r>
          </w:p>
        </w:tc>
        <w:tc>
          <w:tcPr>
            <w:tcW w:type="dxa" w:w="1234"/>
          </w:tcPr>
          <w:p>
            <w:r>
              <w:rPr>
                <w:rFonts w:ascii="Calibri" w:hAnsi="Calibri"/>
                <w:sz w:val="22"/>
              </w:rPr>
              <w:t>+2% to +3%</w:t>
            </w:r>
          </w:p>
        </w:tc>
        <w:tc>
          <w:tcPr>
            <w:tcW w:type="dxa" w:w="1234"/>
          </w:tcPr>
          <w:p>
            <w:r>
              <w:rPr>
                <w:rFonts w:ascii="Calibri" w:hAnsi="Calibri"/>
                <w:sz w:val="22"/>
              </w:rPr>
              <w:t>+0.9 pts above midpoint</w:t>
            </w:r>
          </w:p>
        </w:tc>
      </w:tr>
      <w:tr>
        <w:tc>
          <w:tcPr>
            <w:tcW w:type="dxa" w:w="1234"/>
          </w:tcPr>
          <w:p>
            <w:r>
              <w:rPr>
                <w:rFonts w:ascii="Calibri" w:hAnsi="Calibri"/>
                <w:sz w:val="22"/>
              </w:rPr>
              <w:t>Adjusted EBITDA ($M)</w:t>
            </w:r>
          </w:p>
        </w:tc>
        <w:tc>
          <w:tcPr>
            <w:tcW w:type="dxa" w:w="1234"/>
          </w:tcPr>
          <w:p>
            <w:r>
              <w:rPr>
                <w:rFonts w:ascii="Calibri" w:hAnsi="Calibri"/>
                <w:sz w:val="22"/>
              </w:rPr>
              <w:t>$901M</w:t>
            </w:r>
          </w:p>
        </w:tc>
        <w:tc>
          <w:tcPr>
            <w:tcW w:type="dxa" w:w="1234"/>
          </w:tcPr>
          <w:p>
            <w:r>
              <w:rPr>
                <w:rFonts w:ascii="Calibri" w:hAnsi="Calibri"/>
                <w:sz w:val="22"/>
              </w:rPr>
              <w:t>$1,008M</w:t>
            </w:r>
          </w:p>
        </w:tc>
        <w:tc>
          <w:tcPr>
            <w:tcW w:type="dxa" w:w="1234"/>
          </w:tcPr>
          <w:p>
            <w:r>
              <w:rPr>
                <w:rFonts w:ascii="Calibri" w:hAnsi="Calibri"/>
                <w:sz w:val="22"/>
              </w:rPr>
              <w:t>$1,039M</w:t>
            </w:r>
          </w:p>
        </w:tc>
        <w:tc>
          <w:tcPr>
            <w:tcW w:type="dxa" w:w="1234"/>
          </w:tcPr>
          <w:p>
            <w:r>
              <w:rPr>
                <w:rFonts w:ascii="Calibri" w:hAnsi="Calibri"/>
                <w:sz w:val="22"/>
              </w:rPr>
              <w:t>+3.1% YoY</w:t>
            </w:r>
          </w:p>
        </w:tc>
        <w:tc>
          <w:tcPr>
            <w:tcW w:type="dxa" w:w="1234"/>
          </w:tcPr>
          <w:p>
            <w:r>
              <w:rPr>
                <w:rFonts w:ascii="Calibri" w:hAnsi="Calibri"/>
                <w:sz w:val="22"/>
              </w:rPr>
              <w:t>$1,015M–$1,035M</w:t>
            </w:r>
          </w:p>
        </w:tc>
        <w:tc>
          <w:tcPr>
            <w:tcW w:type="dxa" w:w="1234"/>
          </w:tcPr>
          <w:p>
            <w:r>
              <w:rPr>
                <w:rFonts w:ascii="Calibri" w:hAnsi="Calibri"/>
                <w:sz w:val="22"/>
              </w:rPr>
              <w:t>+$14M / +1.4% above midpoint</w:t>
            </w:r>
          </w:p>
        </w:tc>
      </w:tr>
      <w:tr>
        <w:tc>
          <w:tcPr>
            <w:tcW w:type="dxa" w:w="1234"/>
          </w:tcPr>
          <w:p>
            <w:r>
              <w:rPr>
                <w:rFonts w:ascii="Calibri" w:hAnsi="Calibri"/>
                <w:sz w:val="22"/>
              </w:rPr>
              <w:t>Diluted EPS – Adjusted ($)</w:t>
            </w:r>
          </w:p>
        </w:tc>
        <w:tc>
          <w:tcPr>
            <w:tcW w:type="dxa" w:w="1234"/>
          </w:tcPr>
          <w:p>
            <w:r>
              <w:rPr>
                <w:rFonts w:ascii="Calibri" w:hAnsi="Calibri"/>
                <w:sz w:val="22"/>
              </w:rPr>
              <w:t>$2.01</w:t>
            </w:r>
          </w:p>
        </w:tc>
        <w:tc>
          <w:tcPr>
            <w:tcW w:type="dxa" w:w="1234"/>
          </w:tcPr>
          <w:p>
            <w:r>
              <w:rPr>
                <w:rFonts w:ascii="Calibri" w:hAnsi="Calibri"/>
                <w:sz w:val="22"/>
              </w:rPr>
              <w:t>$2.20</w:t>
            </w:r>
          </w:p>
        </w:tc>
        <w:tc>
          <w:tcPr>
            <w:tcW w:type="dxa" w:w="1234"/>
          </w:tcPr>
          <w:p>
            <w:r>
              <w:rPr>
                <w:rFonts w:ascii="Calibri" w:hAnsi="Calibri"/>
                <w:sz w:val="22"/>
              </w:rPr>
              <w:t>$2.28</w:t>
            </w:r>
          </w:p>
        </w:tc>
        <w:tc>
          <w:tcPr>
            <w:tcW w:type="dxa" w:w="1234"/>
          </w:tcPr>
          <w:p>
            <w:r>
              <w:rPr>
                <w:rFonts w:ascii="Calibri" w:hAnsi="Calibri"/>
                <w:sz w:val="22"/>
              </w:rPr>
              <w:t>+3.6% YoY</w:t>
            </w:r>
          </w:p>
        </w:tc>
        <w:tc>
          <w:tcPr>
            <w:tcW w:type="dxa" w:w="1234"/>
          </w:tcPr>
          <w:p>
            <w:r>
              <w:rPr>
                <w:rFonts w:ascii="Calibri" w:hAnsi="Calibri"/>
                <w:sz w:val="22"/>
              </w:rPr>
              <w:t>$2.18–$2.24</w:t>
            </w:r>
          </w:p>
        </w:tc>
        <w:tc>
          <w:tcPr>
            <w:tcW w:type="dxa" w:w="1234"/>
          </w:tcPr>
          <w:p>
            <w:r>
              <w:rPr>
                <w:rFonts w:ascii="Calibri" w:hAnsi="Calibri"/>
                <w:sz w:val="22"/>
              </w:rPr>
              <w:t>+$0.07 / +3.2% above midpoint</w:t>
            </w:r>
          </w:p>
        </w:tc>
      </w:tr>
      <w:tr>
        <w:tc>
          <w:tcPr>
            <w:tcW w:type="dxa" w:w="1234"/>
          </w:tcPr>
          <w:p>
            <w:r>
              <w:rPr>
                <w:rFonts w:ascii="Calibri" w:hAnsi="Calibri"/>
                <w:sz w:val="22"/>
              </w:rPr>
              <w:t>Total Revenue ($B)</w:t>
            </w:r>
          </w:p>
        </w:tc>
        <w:tc>
          <w:tcPr>
            <w:tcW w:type="dxa" w:w="1234"/>
          </w:tcPr>
          <w:p>
            <w:r>
              <w:rPr>
                <w:rFonts w:ascii="Calibri" w:hAnsi="Calibri"/>
                <w:sz w:val="22"/>
              </w:rPr>
              <w:t>$2.937B</w:t>
            </w:r>
          </w:p>
        </w:tc>
        <w:tc>
          <w:tcPr>
            <w:tcW w:type="dxa" w:w="1234"/>
          </w:tcPr>
          <w:p>
            <w:r>
              <w:rPr>
                <w:rFonts w:ascii="Calibri" w:hAnsi="Calibri"/>
                <w:sz w:val="22"/>
              </w:rPr>
              <w:t>$3.137B</w:t>
            </w:r>
          </w:p>
        </w:tc>
        <w:tc>
          <w:tcPr>
            <w:tcW w:type="dxa" w:w="1234"/>
          </w:tcPr>
          <w:p>
            <w:r>
              <w:rPr>
                <w:rFonts w:ascii="Calibri" w:hAnsi="Calibri"/>
                <w:sz w:val="22"/>
              </w:rPr>
              <w:t>$3.343B</w:t>
            </w:r>
          </w:p>
        </w:tc>
        <w:tc>
          <w:tcPr>
            <w:tcW w:type="dxa" w:w="1234"/>
          </w:tcPr>
          <w:p>
            <w:r>
              <w:rPr>
                <w:rFonts w:ascii="Calibri" w:hAnsi="Calibri"/>
                <w:sz w:val="22"/>
              </w:rPr>
              <w:t>+6.6% YoY</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Net Unit Growth (%)</w:t>
            </w:r>
          </w:p>
        </w:tc>
        <w:tc>
          <w:tcPr>
            <w:tcW w:type="dxa" w:w="1234"/>
          </w:tcPr>
          <w:p>
            <w:r>
              <w:rPr>
                <w:rFonts w:ascii="Calibri" w:hAnsi="Calibri"/>
                <w:sz w:val="22"/>
              </w:rPr>
              <w:t>+6.3%</w:t>
            </w:r>
          </w:p>
        </w:tc>
        <w:tc>
          <w:tcPr>
            <w:tcW w:type="dxa" w:w="1234"/>
          </w:tcPr>
          <w:p>
            <w:r>
              <w:rPr>
                <w:rFonts w:ascii="Calibri" w:hAnsi="Calibri"/>
                <w:sz w:val="22"/>
              </w:rPr>
              <w:t>N/A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6%–7% FY2026</w:t>
            </w:r>
          </w:p>
        </w:tc>
        <w:tc>
          <w:tcPr>
            <w:tcW w:type="dxa" w:w="1234"/>
          </w:tcPr>
          <w:p>
            <w:r>
              <w:rPr>
                <w:rFonts w:ascii="Calibri" w:hAnsi="Calibri"/>
                <w:sz w:val="22"/>
              </w:rPr>
              <w:t>N/A</w:t>
            </w:r>
          </w:p>
        </w:tc>
      </w:tr>
      <w:tr>
        <w:tc>
          <w:tcPr>
            <w:tcW w:type="dxa" w:w="1234"/>
          </w:tcPr>
          <w:p>
            <w:r>
              <w:rPr>
                <w:rFonts w:ascii="Calibri" w:hAnsi="Calibri"/>
                <w:sz w:val="22"/>
              </w:rPr>
              <w:t>Total Rooms (System, #M)</w:t>
            </w:r>
          </w:p>
        </w:tc>
        <w:tc>
          <w:tcPr>
            <w:tcW w:type="dxa" w:w="1234"/>
          </w:tcPr>
          <w:p>
            <w:r>
              <w:rPr>
                <w:rFonts w:ascii="Calibri" w:hAnsi="Calibri"/>
                <w:sz w:val="22"/>
              </w:rPr>
              <w:t>1.362M</w:t>
            </w:r>
          </w:p>
        </w:tc>
        <w:tc>
          <w:tcPr>
            <w:tcW w:type="dxa" w:w="1234"/>
          </w:tcPr>
          <w:p>
            <w:r>
              <w:rPr>
                <w:rFonts w:ascii="Calibri" w:hAnsi="Calibri"/>
                <w:sz w:val="22"/>
              </w:rPr>
              <w:t>1.305M</w:t>
            </w:r>
          </w:p>
        </w:tc>
        <w:tc>
          <w:tcPr>
            <w:tcW w:type="dxa" w:w="1234"/>
          </w:tcPr>
          <w:p>
            <w:r>
              <w:rPr>
                <w:rFonts w:ascii="Calibri" w:hAnsi="Calibri"/>
                <w:sz w:val="22"/>
              </w:rPr>
              <w:t>1.388M</w:t>
            </w:r>
          </w:p>
        </w:tc>
        <w:tc>
          <w:tcPr>
            <w:tcW w:type="dxa" w:w="1234"/>
          </w:tcPr>
          <w:p>
            <w:r>
              <w:rPr>
                <w:rFonts w:ascii="Calibri" w:hAnsi="Calibri"/>
                <w:sz w:val="22"/>
              </w:rPr>
              <w:t>+6.4% YoY</w:t>
            </w:r>
          </w:p>
        </w:tc>
        <w:tc>
          <w:tcPr>
            <w:tcW w:type="dxa" w:w="1234"/>
          </w:tcPr>
          <w:p>
            <w:r>
              <w:rPr>
                <w:rFonts w:ascii="Calibri" w:hAnsi="Calibri"/>
                <w:sz w:val="22"/>
              </w:rPr>
              <w:t>N/A (not guided)</w:t>
            </w:r>
          </w:p>
        </w:tc>
        <w:tc>
          <w:tcPr>
            <w:tcW w:type="dxa" w:w="1234"/>
          </w:tcPr>
          <w:p>
            <w:r>
              <w:rPr>
                <w:rFonts w:ascii="Calibri" w:hAnsi="Calibri"/>
                <w:sz w:val="22"/>
              </w:rPr>
              <w:t>N/A</w:t>
            </w:r>
          </w:p>
        </w:tc>
      </w:tr>
    </w:tbl>
    <w:p>
      <w:r>
        <w:rPr>
          <w:rFonts w:ascii="Calibri" w:hAnsi="Calibri"/>
          <w:i/>
          <w:color w:val="525866"/>
          <w:sz w:val="22"/>
        </w:rPr>
        <w:t>Sources: Visible Alpha Consensus and Actuals Data; HLT Q1 2026 Earnings Release (April 28, 2026). All consensus figures as of July 28,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System-Wide RevPAR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+3.6%</w:t>
            </w:r>
          </w:p>
        </w:tc>
        <w:tc>
          <w:tcPr>
            <w:tcW w:type="dxa" w:w="1728"/>
          </w:tcPr>
          <w:p>
            <w:r>
              <w:rPr>
                <w:rFonts w:ascii="Calibri" w:hAnsi="Calibri"/>
                <w:sz w:val="22"/>
              </w:rPr>
              <w:t>+2.4%</w:t>
            </w:r>
          </w:p>
        </w:tc>
        <w:tc>
          <w:tcPr>
            <w:tcW w:type="dxa" w:w="1728"/>
          </w:tcPr>
          <w:p>
            <w:r>
              <w:rPr>
                <w:rFonts w:ascii="Calibri" w:hAnsi="Calibri"/>
                <w:sz w:val="22"/>
              </w:rPr>
              <w:t>+1.2 pts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+0.5%</w:t>
            </w:r>
          </w:p>
        </w:tc>
        <w:tc>
          <w:tcPr>
            <w:tcW w:type="dxa" w:w="1728"/>
          </w:tcPr>
          <w:p>
            <w:r>
              <w:rPr>
                <w:rFonts w:ascii="Calibri" w:hAnsi="Calibri"/>
                <w:sz w:val="22"/>
              </w:rPr>
              <w:t>+0.3%</w:t>
            </w:r>
          </w:p>
        </w:tc>
        <w:tc>
          <w:tcPr>
            <w:tcW w:type="dxa" w:w="1728"/>
          </w:tcPr>
          <w:p>
            <w:r>
              <w:rPr>
                <w:rFonts w:ascii="Calibri" w:hAnsi="Calibri"/>
                <w:sz w:val="22"/>
              </w:rPr>
              <w:t>+0.2 pts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-1.1%</w:t>
            </w:r>
          </w:p>
        </w:tc>
        <w:tc>
          <w:tcPr>
            <w:tcW w:type="dxa" w:w="1728"/>
          </w:tcPr>
          <w:p>
            <w:r>
              <w:rPr>
                <w:rFonts w:ascii="Calibri" w:hAnsi="Calibri"/>
                <w:sz w:val="22"/>
              </w:rPr>
              <w:t>-0.8%</w:t>
            </w:r>
          </w:p>
        </w:tc>
        <w:tc>
          <w:tcPr>
            <w:tcW w:type="dxa" w:w="1728"/>
          </w:tcPr>
          <w:p>
            <w:r>
              <w:rPr>
                <w:rFonts w:ascii="Calibri" w:hAnsi="Calibri"/>
                <w:sz w:val="22"/>
              </w:rPr>
              <w:t>-0.3 pts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-0.5%</w:t>
            </w:r>
          </w:p>
        </w:tc>
        <w:tc>
          <w:tcPr>
            <w:tcW w:type="dxa" w:w="1728"/>
          </w:tcPr>
          <w:p>
            <w:r>
              <w:rPr>
                <w:rFonts w:ascii="Calibri" w:hAnsi="Calibri"/>
                <w:sz w:val="22"/>
              </w:rPr>
              <w:t>0.0%</w:t>
            </w:r>
          </w:p>
        </w:tc>
        <w:tc>
          <w:tcPr>
            <w:tcW w:type="dxa" w:w="1728"/>
          </w:tcPr>
          <w:p>
            <w:r>
              <w:rPr>
                <w:rFonts w:ascii="Calibri" w:hAnsi="Calibri"/>
                <w:sz w:val="22"/>
              </w:rPr>
              <w:t>-0.5 pts</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+2.5%</w:t>
            </w:r>
          </w:p>
        </w:tc>
        <w:tc>
          <w:tcPr>
            <w:tcW w:type="dxa" w:w="1728"/>
          </w:tcPr>
          <w:p>
            <w:r>
              <w:rPr>
                <w:rFonts w:ascii="Calibri" w:hAnsi="Calibri"/>
                <w:sz w:val="22"/>
              </w:rPr>
              <w:t>+3.0%</w:t>
            </w:r>
          </w:p>
        </w:tc>
        <w:tc>
          <w:tcPr>
            <w:tcW w:type="dxa" w:w="1728"/>
          </w:tcPr>
          <w:p>
            <w:r>
              <w:rPr>
                <w:rFonts w:ascii="Calibri" w:hAnsi="Calibri"/>
                <w:sz w:val="22"/>
              </w:rPr>
              <w:t>-0.5 pts</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+3.5%</w:t>
            </w:r>
          </w:p>
        </w:tc>
        <w:tc>
          <w:tcPr>
            <w:tcW w:type="dxa" w:w="1728"/>
          </w:tcPr>
          <w:p>
            <w:r>
              <w:rPr>
                <w:rFonts w:ascii="Calibri" w:hAnsi="Calibri"/>
                <w:sz w:val="22"/>
              </w:rPr>
              <w:t>+2.0%</w:t>
            </w:r>
          </w:p>
        </w:tc>
        <w:tc>
          <w:tcPr>
            <w:tcW w:type="dxa" w:w="1728"/>
          </w:tcPr>
          <w:p>
            <w:r>
              <w:rPr>
                <w:rFonts w:ascii="Calibri" w:hAnsi="Calibri"/>
                <w:sz w:val="22"/>
              </w:rPr>
              <w:t>+1.5 pts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+1.4%</w:t>
            </w:r>
          </w:p>
        </w:tc>
        <w:tc>
          <w:tcPr>
            <w:tcW w:type="dxa" w:w="1728"/>
          </w:tcPr>
          <w:p>
            <w:r>
              <w:rPr>
                <w:rFonts w:ascii="Calibri" w:hAnsi="Calibri"/>
                <w:sz w:val="22"/>
              </w:rPr>
              <w:t>+1.9%</w:t>
            </w:r>
          </w:p>
        </w:tc>
        <w:tc>
          <w:tcPr>
            <w:tcW w:type="dxa" w:w="1728"/>
          </w:tcPr>
          <w:p>
            <w:r>
              <w:rPr>
                <w:rFonts w:ascii="Calibri" w:hAnsi="Calibri"/>
                <w:sz w:val="22"/>
              </w:rPr>
              <w:t>-0.5 pts</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Adjusted EPS –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$2.01</w:t>
            </w:r>
          </w:p>
        </w:tc>
        <w:tc>
          <w:tcPr>
            <w:tcW w:type="dxa" w:w="1728"/>
          </w:tcPr>
          <w:p>
            <w:r>
              <w:rPr>
                <w:rFonts w:ascii="Calibri" w:hAnsi="Calibri"/>
                <w:sz w:val="22"/>
              </w:rPr>
              <w:t>$1.98</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$2.08</w:t>
            </w:r>
          </w:p>
        </w:tc>
        <w:tc>
          <w:tcPr>
            <w:tcW w:type="dxa" w:w="1728"/>
          </w:tcPr>
          <w:p>
            <w:r>
              <w:rPr>
                <w:rFonts w:ascii="Calibri" w:hAnsi="Calibri"/>
                <w:sz w:val="22"/>
              </w:rPr>
              <w:t>$2.02</w:t>
            </w:r>
          </w:p>
        </w:tc>
        <w:tc>
          <w:tcPr>
            <w:tcW w:type="dxa" w:w="1728"/>
          </w:tcPr>
          <w:p>
            <w:r>
              <w:rPr>
                <w:rFonts w:ascii="Calibri" w:hAnsi="Calibri"/>
                <w:sz w:val="22"/>
              </w:rPr>
              <w:t>+3.0%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$2.10</w:t>
            </w:r>
          </w:p>
        </w:tc>
        <w:tc>
          <w:tcPr>
            <w:tcW w:type="dxa" w:w="1728"/>
          </w:tcPr>
          <w:p>
            <w:r>
              <w:rPr>
                <w:rFonts w:ascii="Calibri" w:hAnsi="Calibri"/>
                <w:sz w:val="22"/>
              </w:rPr>
              <w:t>$2.06</w:t>
            </w:r>
          </w:p>
        </w:tc>
        <w:tc>
          <w:tcPr>
            <w:tcW w:type="dxa" w:w="1728"/>
          </w:tcPr>
          <w:p>
            <w:r>
              <w:rPr>
                <w:rFonts w:ascii="Calibri" w:hAnsi="Calibri"/>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$2.20</w:t>
            </w:r>
          </w:p>
        </w:tc>
        <w:tc>
          <w:tcPr>
            <w:tcW w:type="dxa" w:w="1728"/>
          </w:tcPr>
          <w:p>
            <w:r>
              <w:rPr>
                <w:rFonts w:ascii="Calibri" w:hAnsi="Calibri"/>
                <w:sz w:val="22"/>
              </w:rPr>
              <w:t>$2.03</w:t>
            </w:r>
          </w:p>
        </w:tc>
        <w:tc>
          <w:tcPr>
            <w:tcW w:type="dxa" w:w="1728"/>
          </w:tcPr>
          <w:p>
            <w:r>
              <w:rPr>
                <w:rFonts w:ascii="Calibri" w:hAnsi="Calibri"/>
                <w:sz w:val="22"/>
              </w:rPr>
              <w:t>+8.4%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$1.72</w:t>
            </w:r>
          </w:p>
        </w:tc>
        <w:tc>
          <w:tcPr>
            <w:tcW w:type="dxa" w:w="1728"/>
          </w:tcPr>
          <w:p>
            <w:r>
              <w:rPr>
                <w:rFonts w:ascii="Calibri" w:hAnsi="Calibri"/>
                <w:sz w:val="22"/>
              </w:rPr>
              <w:t>$1.64</w:t>
            </w:r>
          </w:p>
        </w:tc>
        <w:tc>
          <w:tcPr>
            <w:tcW w:type="dxa" w:w="1728"/>
          </w:tcPr>
          <w:p>
            <w:r>
              <w:rPr>
                <w:rFonts w:ascii="Calibri" w:hAnsi="Calibri"/>
                <w:sz w:val="22"/>
              </w:rPr>
              <w:t>+4.9%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$1.76</w:t>
            </w:r>
          </w:p>
        </w:tc>
        <w:tc>
          <w:tcPr>
            <w:tcW w:type="dxa" w:w="1728"/>
          </w:tcPr>
          <w:p>
            <w:r>
              <w:rPr>
                <w:rFonts w:ascii="Calibri" w:hAnsi="Calibri"/>
                <w:sz w:val="22"/>
              </w:rPr>
              <w:t>$1.69</w:t>
            </w:r>
          </w:p>
        </w:tc>
        <w:tc>
          <w:tcPr>
            <w:tcW w:type="dxa" w:w="1728"/>
          </w:tcPr>
          <w:p>
            <w:r>
              <w:rPr>
                <w:rFonts w:ascii="Calibri" w:hAnsi="Calibri"/>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$1.92</w:t>
            </w:r>
          </w:p>
        </w:tc>
        <w:tc>
          <w:tcPr>
            <w:tcW w:type="dxa" w:w="1728"/>
          </w:tcPr>
          <w:p>
            <w:r>
              <w:rPr>
                <w:rFonts w:ascii="Calibri" w:hAnsi="Calibri"/>
                <w:sz w:val="22"/>
              </w:rPr>
              <w:t>$1.85</w:t>
            </w:r>
          </w:p>
        </w:tc>
        <w:tc>
          <w:tcPr>
            <w:tcW w:type="dxa" w:w="1728"/>
          </w:tcPr>
          <w:p>
            <w:r>
              <w:rPr>
                <w:rFonts w:ascii="Calibri" w:hAnsi="Calibri"/>
                <w:sz w:val="22"/>
              </w:rPr>
              <w:t>+3.8%</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HLT has beaten Adjusted EPS consensus in every quarter with available data (7 of 7), with an average beat of ~4%; RevPAR has been more mixed (3 beats, 4 misses over 7 quarters), reflecting the sensitivity of the top-line metric to macro and geopolitical shocks.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earnings call (April 28); management's tone was constructive but deliberately conservative on the Middle East, and no post-earnings guidance revision has been issued. The only material corporate action was a $1B senior notes offering in May, which is balance-sheet housekeeping rather than a signal of operational change.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System-Wide RevPAR Growth</w:t>
            </w:r>
          </w:p>
        </w:tc>
        <w:tc>
          <w:tcPr>
            <w:tcW w:type="dxa" w:w="1728"/>
          </w:tcPr>
          <w:p>
            <w:r>
              <w:rPr>
                <w:rFonts w:ascii="Calibri" w:hAnsi="Calibri"/>
                <w:sz w:val="22"/>
              </w:rPr>
              <w:t>+2% to +3%</w:t>
            </w:r>
          </w:p>
        </w:tc>
        <w:tc>
          <w:tcPr>
            <w:tcW w:type="dxa" w:w="1728"/>
          </w:tcPr>
          <w:p>
            <w:r>
              <w:rPr>
                <w:rFonts w:ascii="Calibri" w:hAnsi="Calibri"/>
                <w:sz w:val="22"/>
              </w:rPr>
              <w:t>—</w:t>
            </w:r>
          </w:p>
        </w:tc>
        <w:tc>
          <w:tcPr>
            <w:tcW w:type="dxa" w:w="1728"/>
          </w:tcPr>
          <w:p>
            <w:r>
              <w:rPr>
                <w:rFonts w:ascii="Calibri" w:hAnsi="Calibri"/>
                <w:sz w:val="22"/>
              </w:rPr>
              <w:t>+3.4%</w:t>
            </w:r>
          </w:p>
        </w:tc>
        <w:tc>
          <w:tcPr>
            <w:tcW w:type="dxa" w:w="1728"/>
          </w:tcPr>
          <w:p>
            <w:r>
              <w:rPr>
                <w:rFonts w:ascii="Calibri" w:hAnsi="Calibri"/>
                <w:sz w:val="22"/>
              </w:rPr>
              <w:t>Unchanged; consensus has moved 90bps above midpoint, reflecting improving peer data</w:t>
            </w:r>
          </w:p>
        </w:tc>
      </w:tr>
      <w:tr>
        <w:tc>
          <w:tcPr>
            <w:tcW w:type="dxa" w:w="1728"/>
          </w:tcPr>
          <w:p>
            <w:r>
              <w:rPr>
                <w:rFonts w:ascii="Calibri" w:hAnsi="Calibri"/>
                <w:sz w:val="22"/>
              </w:rPr>
              <w:t>Q2 2026 Adjusted EBITDA</w:t>
            </w:r>
          </w:p>
        </w:tc>
        <w:tc>
          <w:tcPr>
            <w:tcW w:type="dxa" w:w="1728"/>
          </w:tcPr>
          <w:p>
            <w:r>
              <w:rPr>
                <w:rFonts w:ascii="Calibri" w:hAnsi="Calibri"/>
                <w:sz w:val="22"/>
              </w:rPr>
              <w:t>$1,015M–$1,035M</w:t>
            </w:r>
          </w:p>
        </w:tc>
        <w:tc>
          <w:tcPr>
            <w:tcW w:type="dxa" w:w="1728"/>
          </w:tcPr>
          <w:p>
            <w:r>
              <w:rPr>
                <w:rFonts w:ascii="Calibri" w:hAnsi="Calibri"/>
                <w:sz w:val="22"/>
              </w:rPr>
              <w:t>—</w:t>
            </w:r>
          </w:p>
        </w:tc>
        <w:tc>
          <w:tcPr>
            <w:tcW w:type="dxa" w:w="1728"/>
          </w:tcPr>
          <w:p>
            <w:r>
              <w:rPr>
                <w:rFonts w:ascii="Calibri" w:hAnsi="Calibri"/>
                <w:sz w:val="22"/>
              </w:rPr>
              <w:t>$1,039M</w:t>
            </w:r>
          </w:p>
        </w:tc>
        <w:tc>
          <w:tcPr>
            <w:tcW w:type="dxa" w:w="1728"/>
          </w:tcPr>
          <w:p>
            <w:r>
              <w:rPr>
                <w:rFonts w:ascii="Calibri" w:hAnsi="Calibri"/>
                <w:sz w:val="22"/>
              </w:rPr>
              <w:t>Unchanged; consensus sits $14M above midpoint</w:t>
            </w:r>
          </w:p>
        </w:tc>
      </w:tr>
      <w:tr>
        <w:tc>
          <w:tcPr>
            <w:tcW w:type="dxa" w:w="1728"/>
          </w:tcPr>
          <w:p>
            <w:r>
              <w:rPr>
                <w:rFonts w:ascii="Calibri" w:hAnsi="Calibri"/>
                <w:sz w:val="22"/>
              </w:rPr>
              <w:t>Q2 2026 Adjusted EPS</w:t>
            </w:r>
          </w:p>
        </w:tc>
        <w:tc>
          <w:tcPr>
            <w:tcW w:type="dxa" w:w="1728"/>
          </w:tcPr>
          <w:p>
            <w:r>
              <w:rPr>
                <w:rFonts w:ascii="Calibri" w:hAnsi="Calibri"/>
                <w:sz w:val="22"/>
              </w:rPr>
              <w:t>$2.18–$2.24</w:t>
            </w:r>
          </w:p>
        </w:tc>
        <w:tc>
          <w:tcPr>
            <w:tcW w:type="dxa" w:w="1728"/>
          </w:tcPr>
          <w:p>
            <w:r>
              <w:rPr>
                <w:rFonts w:ascii="Calibri" w:hAnsi="Calibri"/>
                <w:sz w:val="22"/>
              </w:rPr>
              <w:t>—</w:t>
            </w:r>
          </w:p>
        </w:tc>
        <w:tc>
          <w:tcPr>
            <w:tcW w:type="dxa" w:w="1728"/>
          </w:tcPr>
          <w:p>
            <w:r>
              <w:rPr>
                <w:rFonts w:ascii="Calibri" w:hAnsi="Calibri"/>
                <w:sz w:val="22"/>
              </w:rPr>
              <w:t>$2.28</w:t>
            </w:r>
          </w:p>
        </w:tc>
        <w:tc>
          <w:tcPr>
            <w:tcW w:type="dxa" w:w="1728"/>
          </w:tcPr>
          <w:p>
            <w:r>
              <w:rPr>
                <w:rFonts w:ascii="Calibri" w:hAnsi="Calibri"/>
                <w:sz w:val="22"/>
              </w:rPr>
              <w:t>Unchanged; consensus $0.07 above midpoint; management flagged one-time items and Middle East as headwinds</w:t>
            </w:r>
          </w:p>
        </w:tc>
      </w:tr>
      <w:tr>
        <w:tc>
          <w:tcPr>
            <w:tcW w:type="dxa" w:w="1728"/>
          </w:tcPr>
          <w:p>
            <w:r>
              <w:rPr>
                <w:rFonts w:ascii="Calibri" w:hAnsi="Calibri"/>
                <w:sz w:val="22"/>
              </w:rPr>
              <w:t>FY2026 System-Wide RevPAR Growth</w:t>
            </w:r>
          </w:p>
        </w:tc>
        <w:tc>
          <w:tcPr>
            <w:tcW w:type="dxa" w:w="1728"/>
          </w:tcPr>
          <w:p>
            <w:r>
              <w:rPr>
                <w:rFonts w:ascii="Calibri" w:hAnsi="Calibri"/>
                <w:sz w:val="22"/>
              </w:rPr>
              <w:t>+2% to +3%</w:t>
            </w:r>
          </w:p>
        </w:tc>
        <w:tc>
          <w:tcPr>
            <w:tcW w:type="dxa" w:w="1728"/>
          </w:tcPr>
          <w:p>
            <w:r>
              <w:rPr>
                <w:rFonts w:ascii="Calibri" w:hAnsi="Calibri"/>
                <w:sz w:val="22"/>
              </w:rPr>
              <w:t>—</w:t>
            </w:r>
          </w:p>
        </w:tc>
        <w:tc>
          <w:tcPr>
            <w:tcW w:type="dxa" w:w="1728"/>
          </w:tcPr>
          <w:p>
            <w:r>
              <w:rPr>
                <w:rFonts w:ascii="Calibri" w:hAnsi="Calibri"/>
                <w:sz w:val="22"/>
              </w:rPr>
              <w:t>+2.8%</w:t>
            </w:r>
          </w:p>
        </w:tc>
        <w:tc>
          <w:tcPr>
            <w:tcW w:type="dxa" w:w="1728"/>
          </w:tcPr>
          <w:p>
            <w:r>
              <w:rPr>
                <w:rFonts w:ascii="Calibri" w:hAnsi="Calibri"/>
                <w:sz w:val="22"/>
              </w:rPr>
              <w:t>Unchanged; consensus near high end of range</w:t>
            </w:r>
          </w:p>
        </w:tc>
      </w:tr>
      <w:tr>
        <w:tc>
          <w:tcPr>
            <w:tcW w:type="dxa" w:w="1728"/>
          </w:tcPr>
          <w:p>
            <w:r>
              <w:rPr>
                <w:rFonts w:ascii="Calibri" w:hAnsi="Calibri"/>
                <w:sz w:val="22"/>
              </w:rPr>
              <w:t>FY2026 Adjusted EBITDA</w:t>
            </w:r>
          </w:p>
        </w:tc>
        <w:tc>
          <w:tcPr>
            <w:tcW w:type="dxa" w:w="1728"/>
          </w:tcPr>
          <w:p>
            <w:r>
              <w:rPr>
                <w:rFonts w:ascii="Calibri" w:hAnsi="Calibri"/>
                <w:sz w:val="22"/>
              </w:rPr>
              <w:t>$4,020M–$4,060M</w:t>
            </w:r>
          </w:p>
        </w:tc>
        <w:tc>
          <w:tcPr>
            <w:tcW w:type="dxa" w:w="1728"/>
          </w:tcPr>
          <w:p>
            <w:r>
              <w:rPr>
                <w:rFonts w:ascii="Calibri" w:hAnsi="Calibri"/>
                <w:sz w:val="22"/>
              </w:rPr>
              <w:t>—</w:t>
            </w:r>
          </w:p>
        </w:tc>
        <w:tc>
          <w:tcPr>
            <w:tcW w:type="dxa" w:w="1728"/>
          </w:tcPr>
          <w:p>
            <w:r>
              <w:rPr>
                <w:rFonts w:ascii="Calibri" w:hAnsi="Calibri"/>
                <w:sz w:val="22"/>
              </w:rPr>
              <w:t>$4,054M</w:t>
            </w:r>
          </w:p>
        </w:tc>
        <w:tc>
          <w:tcPr>
            <w:tcW w:type="dxa" w:w="1728"/>
          </w:tcPr>
          <w:p>
            <w:r>
              <w:rPr>
                <w:rFonts w:ascii="Calibri" w:hAnsi="Calibri"/>
                <w:sz w:val="22"/>
              </w:rPr>
              <w:t>Unchanged; consensus near high end of range</w:t>
            </w:r>
          </w:p>
        </w:tc>
      </w:tr>
      <w:tr>
        <w:tc>
          <w:tcPr>
            <w:tcW w:type="dxa" w:w="1728"/>
          </w:tcPr>
          <w:p>
            <w:r>
              <w:rPr>
                <w:rFonts w:ascii="Calibri" w:hAnsi="Calibri"/>
                <w:sz w:val="22"/>
              </w:rPr>
              <w:t>FY2026 Adjusted EPS</w:t>
            </w:r>
          </w:p>
        </w:tc>
        <w:tc>
          <w:tcPr>
            <w:tcW w:type="dxa" w:w="1728"/>
          </w:tcPr>
          <w:p>
            <w:r>
              <w:rPr>
                <w:rFonts w:ascii="Calibri" w:hAnsi="Calibri"/>
                <w:sz w:val="22"/>
              </w:rPr>
              <w:t>$8.79–$8.91</w:t>
            </w:r>
          </w:p>
        </w:tc>
        <w:tc>
          <w:tcPr>
            <w:tcW w:type="dxa" w:w="1728"/>
          </w:tcPr>
          <w:p>
            <w:r>
              <w:rPr>
                <w:rFonts w:ascii="Calibri" w:hAnsi="Calibri"/>
                <w:sz w:val="22"/>
              </w:rPr>
              <w:t>—</w:t>
            </w:r>
          </w:p>
        </w:tc>
        <w:tc>
          <w:tcPr>
            <w:tcW w:type="dxa" w:w="1728"/>
          </w:tcPr>
          <w:p>
            <w:r>
              <w:rPr>
                <w:rFonts w:ascii="Calibri" w:hAnsi="Calibri"/>
                <w:sz w:val="22"/>
              </w:rPr>
              <w:t>$8.98</w:t>
            </w:r>
          </w:p>
        </w:tc>
        <w:tc>
          <w:tcPr>
            <w:tcW w:type="dxa" w:w="1728"/>
          </w:tcPr>
          <w:p>
            <w:r>
              <w:rPr>
                <w:rFonts w:ascii="Calibri" w:hAnsi="Calibri"/>
                <w:sz w:val="22"/>
              </w:rPr>
              <w:t>Unchanged; consensus $0.12 above midpoint; share buybacks ($3.5B target) are a tailwind</w:t>
            </w:r>
          </w:p>
        </w:tc>
      </w:tr>
      <w:tr>
        <w:tc>
          <w:tcPr>
            <w:tcW w:type="dxa" w:w="1728"/>
          </w:tcPr>
          <w:p>
            <w:r>
              <w:rPr>
                <w:rFonts w:ascii="Calibri" w:hAnsi="Calibri"/>
                <w:sz w:val="22"/>
              </w:rPr>
              <w:t>FY2026 Net Unit Growth</w:t>
            </w:r>
          </w:p>
        </w:tc>
        <w:tc>
          <w:tcPr>
            <w:tcW w:type="dxa" w:w="1728"/>
          </w:tcPr>
          <w:p>
            <w:r>
              <w:rPr>
                <w:rFonts w:ascii="Calibri" w:hAnsi="Calibri"/>
                <w:sz w:val="22"/>
              </w:rPr>
              <w:t>6%–7%</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management noted Middle East could pressure upper end of range</w:t>
            </w:r>
          </w:p>
        </w:tc>
      </w:tr>
      <w:tr>
        <w:tc>
          <w:tcPr>
            <w:tcW w:type="dxa" w:w="1728"/>
          </w:tcPr>
          <w:p>
            <w:r>
              <w:rPr>
                <w:rFonts w:ascii="Calibri" w:hAnsi="Calibri"/>
                <w:sz w:val="22"/>
              </w:rPr>
              <w:t>FY2026 Capital Return</w:t>
            </w:r>
          </w:p>
        </w:tc>
        <w:tc>
          <w:tcPr>
            <w:tcW w:type="dxa" w:w="1728"/>
          </w:tcPr>
          <w:p>
            <w:r>
              <w:rPr>
                <w:rFonts w:ascii="Calibri" w:hAnsi="Calibri"/>
                <w:sz w:val="22"/>
              </w:rPr>
              <w:t>~$3.5B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$860M returned in Q1, $1,084M YTD through April</w:t>
            </w:r>
          </w:p>
        </w:tc>
      </w:tr>
    </w:tbl>
    <w:p>
      <w:r>
        <w:rPr>
          <w:rFonts w:ascii="Calibri" w:hAnsi="Calibri"/>
          <w:i/>
          <w:color w:val="525866"/>
          <w:sz w:val="22"/>
        </w:rPr>
        <w:t>Source: HLT Q1 2026 Earnings Call Transcript and Press Release (April 28,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meaningfully higher since the Q1 print — Q2 RevPAR consensus is up ~100bps and Q2 EPS is up ~$0.04 from the post-earnings baseline — suggesting the street has grown more confident in the demand environment; </w:t>
      </w:r>
      <w:r>
        <w:rPr>
          <w:rFonts w:ascii="Calibri" w:hAnsi="Calibri"/>
          <w:b/>
          <w:color w:val="525866"/>
          <w:sz w:val="22"/>
        </w:rPr>
        <w:t>the gap between consensus and guidance midpoints is now the widest it has been, creating a higher bar to clear.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8,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System-Wide RevPAR Growth (Q2 2026)</w:t>
            </w:r>
          </w:p>
        </w:tc>
        <w:tc>
          <w:tcPr>
            <w:tcW w:type="dxa" w:w="1080"/>
          </w:tcPr>
          <w:p>
            <w:r>
              <w:rPr>
                <w:rFonts w:ascii="Calibri" w:hAnsi="Calibri"/>
                <w:sz w:val="22"/>
              </w:rPr>
              <w:t>+2.3%</w:t>
            </w:r>
          </w:p>
        </w:tc>
        <w:tc>
          <w:tcPr>
            <w:tcW w:type="dxa" w:w="1080"/>
          </w:tcPr>
          <w:p>
            <w:r>
              <w:rPr>
                <w:rFonts w:ascii="Calibri" w:hAnsi="Calibri"/>
                <w:sz w:val="22"/>
              </w:rPr>
              <w:t>+3.4%</w:t>
            </w:r>
          </w:p>
        </w:tc>
        <w:tc>
          <w:tcPr>
            <w:tcW w:type="dxa" w:w="1080"/>
          </w:tcPr>
          <w:p>
            <w:r>
              <w:rPr>
                <w:rFonts w:ascii="Calibri" w:hAnsi="Calibri"/>
                <w:sz w:val="22"/>
              </w:rPr>
              <w:t>+47.8%</w:t>
            </w:r>
          </w:p>
        </w:tc>
        <w:tc>
          <w:tcPr>
            <w:tcW w:type="dxa" w:w="1080"/>
          </w:tcPr>
          <w:p>
            <w:r>
              <w:rPr>
                <w:rFonts w:ascii="Calibri" w:hAnsi="Calibri"/>
                <w:sz w:val="22"/>
              </w:rPr>
              <w:t>+2% to +3%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pts above midpoint</w:t>
            </w:r>
          </w:p>
        </w:tc>
      </w:tr>
      <w:tr>
        <w:tc>
          <w:tcPr>
            <w:tcW w:type="dxa" w:w="1080"/>
          </w:tcPr>
          <w:p>
            <w:r>
              <w:rPr>
                <w:rFonts w:ascii="Calibri" w:hAnsi="Calibri"/>
                <w:sz w:val="22"/>
              </w:rPr>
              <w:t>Adjusted EBITDA (Q2 2026)</w:t>
            </w:r>
          </w:p>
        </w:tc>
        <w:tc>
          <w:tcPr>
            <w:tcW w:type="dxa" w:w="1080"/>
          </w:tcPr>
          <w:p>
            <w:r>
              <w:rPr>
                <w:rFonts w:ascii="Calibri" w:hAnsi="Calibri"/>
                <w:sz w:val="22"/>
              </w:rPr>
              <w:t>$1,029M</w:t>
            </w:r>
          </w:p>
        </w:tc>
        <w:tc>
          <w:tcPr>
            <w:tcW w:type="dxa" w:w="1080"/>
          </w:tcPr>
          <w:p>
            <w:r>
              <w:rPr>
                <w:rFonts w:ascii="Calibri" w:hAnsi="Calibri"/>
                <w:sz w:val="22"/>
              </w:rPr>
              <w:t>$1,039M</w:t>
            </w:r>
          </w:p>
        </w:tc>
        <w:tc>
          <w:tcPr>
            <w:tcW w:type="dxa" w:w="1080"/>
          </w:tcPr>
          <w:p>
            <w:r>
              <w:rPr>
                <w:rFonts w:ascii="Calibri" w:hAnsi="Calibri"/>
                <w:sz w:val="22"/>
              </w:rPr>
              <w:t>+1.0%</w:t>
            </w:r>
          </w:p>
        </w:tc>
        <w:tc>
          <w:tcPr>
            <w:tcW w:type="dxa" w:w="1080"/>
          </w:tcPr>
          <w:p>
            <w:r>
              <w:rPr>
                <w:rFonts w:ascii="Calibri" w:hAnsi="Calibri"/>
                <w:sz w:val="22"/>
              </w:rPr>
              <w:t>$1,015M–$1,035M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+$14M / +1.4% above midpoint</w:t>
            </w:r>
          </w:p>
        </w:tc>
      </w:tr>
      <w:tr>
        <w:tc>
          <w:tcPr>
            <w:tcW w:type="dxa" w:w="1080"/>
          </w:tcPr>
          <w:p>
            <w:r>
              <w:rPr>
                <w:rFonts w:ascii="Calibri" w:hAnsi="Calibri"/>
                <w:sz w:val="22"/>
              </w:rPr>
              <w:t>Adjusted EPS (Q2 2026)</w:t>
            </w:r>
          </w:p>
        </w:tc>
        <w:tc>
          <w:tcPr>
            <w:tcW w:type="dxa" w:w="1080"/>
          </w:tcPr>
          <w:p>
            <w:r>
              <w:rPr>
                <w:rFonts w:ascii="Calibri" w:hAnsi="Calibri"/>
                <w:sz w:val="22"/>
              </w:rPr>
              <w:t>$2.24</w:t>
            </w:r>
          </w:p>
        </w:tc>
        <w:tc>
          <w:tcPr>
            <w:tcW w:type="dxa" w:w="1080"/>
          </w:tcPr>
          <w:p>
            <w:r>
              <w:rPr>
                <w:rFonts w:ascii="Calibri" w:hAnsi="Calibri"/>
                <w:sz w:val="22"/>
              </w:rPr>
              <w:t>$2.28</w:t>
            </w:r>
          </w:p>
        </w:tc>
        <w:tc>
          <w:tcPr>
            <w:tcW w:type="dxa" w:w="1080"/>
          </w:tcPr>
          <w:p>
            <w:r>
              <w:rPr>
                <w:rFonts w:ascii="Calibri" w:hAnsi="Calibri"/>
                <w:sz w:val="22"/>
              </w:rPr>
              <w:t>+1.8%</w:t>
            </w:r>
          </w:p>
        </w:tc>
        <w:tc>
          <w:tcPr>
            <w:tcW w:type="dxa" w:w="1080"/>
          </w:tcPr>
          <w:p>
            <w:r>
              <w:rPr>
                <w:rFonts w:ascii="Calibri" w:hAnsi="Calibri"/>
                <w:sz w:val="22"/>
              </w:rPr>
              <w:t>$2.18–$2.24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+$0.07 / +3.2% above midpoint</w:t>
            </w:r>
          </w:p>
        </w:tc>
      </w:tr>
      <w:tr>
        <w:tc>
          <w:tcPr>
            <w:tcW w:type="dxa" w:w="1080"/>
          </w:tcPr>
          <w:p>
            <w:r>
              <w:rPr>
                <w:rFonts w:ascii="Calibri" w:hAnsi="Calibri"/>
                <w:sz w:val="22"/>
              </w:rPr>
              <w:t>System-Wide RevPAR Growth (FY2026)</w:t>
            </w:r>
          </w:p>
        </w:tc>
        <w:tc>
          <w:tcPr>
            <w:tcW w:type="dxa" w:w="1080"/>
          </w:tcPr>
          <w:p>
            <w:r>
              <w:rPr>
                <w:rFonts w:ascii="Calibri" w:hAnsi="Calibri"/>
                <w:sz w:val="22"/>
              </w:rPr>
              <w:t>+2.3%</w:t>
            </w:r>
          </w:p>
        </w:tc>
        <w:tc>
          <w:tcPr>
            <w:tcW w:type="dxa" w:w="1080"/>
          </w:tcPr>
          <w:p>
            <w:r>
              <w:rPr>
                <w:rFonts w:ascii="Calibri" w:hAnsi="Calibri"/>
                <w:sz w:val="22"/>
              </w:rPr>
              <w:t>+2.8%</w:t>
            </w:r>
          </w:p>
        </w:tc>
        <w:tc>
          <w:tcPr>
            <w:tcW w:type="dxa" w:w="1080"/>
          </w:tcPr>
          <w:p>
            <w:r>
              <w:rPr>
                <w:rFonts w:ascii="Calibri" w:hAnsi="Calibri"/>
                <w:sz w:val="22"/>
              </w:rPr>
              <w:t>+21.7%</w:t>
            </w:r>
          </w:p>
        </w:tc>
        <w:tc>
          <w:tcPr>
            <w:tcW w:type="dxa" w:w="1080"/>
          </w:tcPr>
          <w:p>
            <w:r>
              <w:rPr>
                <w:rFonts w:ascii="Calibri" w:hAnsi="Calibri"/>
                <w:sz w:val="22"/>
              </w:rPr>
              <w:t>+2% to +3%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pts above midpoint</w:t>
            </w:r>
          </w:p>
        </w:tc>
      </w:tr>
      <w:tr>
        <w:tc>
          <w:tcPr>
            <w:tcW w:type="dxa" w:w="1080"/>
          </w:tcPr>
          <w:p>
            <w:r>
              <w:rPr>
                <w:rFonts w:ascii="Calibri" w:hAnsi="Calibri"/>
                <w:sz w:val="22"/>
              </w:rPr>
              <w:t>Adjusted EBITDA (FY2026)</w:t>
            </w:r>
          </w:p>
        </w:tc>
        <w:tc>
          <w:tcPr>
            <w:tcW w:type="dxa" w:w="1080"/>
          </w:tcPr>
          <w:p>
            <w:r>
              <w:rPr>
                <w:rFonts w:ascii="Calibri" w:hAnsi="Calibri"/>
                <w:sz w:val="22"/>
              </w:rPr>
              <w:t>$4,042M</w:t>
            </w:r>
          </w:p>
        </w:tc>
        <w:tc>
          <w:tcPr>
            <w:tcW w:type="dxa" w:w="1080"/>
          </w:tcPr>
          <w:p>
            <w:r>
              <w:rPr>
                <w:rFonts w:ascii="Calibri" w:hAnsi="Calibri"/>
                <w:sz w:val="22"/>
              </w:rPr>
              <w:t>$4,054M</w:t>
            </w:r>
          </w:p>
        </w:tc>
        <w:tc>
          <w:tcPr>
            <w:tcW w:type="dxa" w:w="1080"/>
          </w:tcPr>
          <w:p>
            <w:r>
              <w:rPr>
                <w:rFonts w:ascii="Calibri" w:hAnsi="Calibri"/>
                <w:sz w:val="22"/>
              </w:rPr>
              <w:t>+0.3%</w:t>
            </w:r>
          </w:p>
        </w:tc>
        <w:tc>
          <w:tcPr>
            <w:tcW w:type="dxa" w:w="1080"/>
          </w:tcPr>
          <w:p>
            <w:r>
              <w:rPr>
                <w:rFonts w:ascii="Calibri" w:hAnsi="Calibri"/>
                <w:sz w:val="22"/>
              </w:rPr>
              <w:t>$4,020M–$4,060M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+$14M / +0.3% above midpoint</w:t>
            </w:r>
          </w:p>
        </w:tc>
      </w:tr>
      <w:tr>
        <w:tc>
          <w:tcPr>
            <w:tcW w:type="dxa" w:w="1080"/>
          </w:tcPr>
          <w:p>
            <w:r>
              <w:rPr>
                <w:rFonts w:ascii="Calibri" w:hAnsi="Calibri"/>
                <w:sz w:val="22"/>
              </w:rPr>
              <w:t>Adjusted EPS (FY2026)</w:t>
            </w:r>
          </w:p>
        </w:tc>
        <w:tc>
          <w:tcPr>
            <w:tcW w:type="dxa" w:w="1080"/>
          </w:tcPr>
          <w:p>
            <w:r>
              <w:rPr>
                <w:rFonts w:ascii="Calibri" w:hAnsi="Calibri"/>
                <w:sz w:val="22"/>
              </w:rPr>
              <w:t>$9.01</w:t>
            </w:r>
          </w:p>
        </w:tc>
        <w:tc>
          <w:tcPr>
            <w:tcW w:type="dxa" w:w="1080"/>
          </w:tcPr>
          <w:p>
            <w:r>
              <w:rPr>
                <w:rFonts w:ascii="Calibri" w:hAnsi="Calibri"/>
                <w:sz w:val="22"/>
              </w:rPr>
              <w:t>$8.98</w:t>
            </w:r>
          </w:p>
        </w:tc>
        <w:tc>
          <w:tcPr>
            <w:tcW w:type="dxa" w:w="1080"/>
          </w:tcPr>
          <w:p>
            <w:r>
              <w:rPr>
                <w:rFonts w:ascii="Calibri" w:hAnsi="Calibri"/>
                <w:sz w:val="22"/>
              </w:rPr>
              <w:t>-0.3%</w:t>
            </w:r>
          </w:p>
        </w:tc>
        <w:tc>
          <w:tcPr>
            <w:tcW w:type="dxa" w:w="1080"/>
          </w:tcPr>
          <w:p>
            <w:r>
              <w:rPr>
                <w:rFonts w:ascii="Calibri" w:hAnsi="Calibri"/>
                <w:sz w:val="22"/>
              </w:rPr>
              <w:t>$8.79–$8.91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+$0.13 / +1.5% above midpoint</w:t>
            </w:r>
          </w:p>
        </w:tc>
      </w:tr>
    </w:tbl>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HLT has significantly outperformed both the consumer discretionary sector (XLY) and the S&amp;P 500 since the Q1 2026 earnings print, with the stock up ~+2.3% vs. XLY -5.4% and SPY +3.9%; </w:t>
      </w:r>
      <w:r>
        <w:rPr>
          <w:rFonts w:ascii="Calibri" w:hAnsi="Calibri"/>
          <w:b/>
          <w:color w:val="525866"/>
          <w:sz w:val="22"/>
        </w:rPr>
        <w:t>the outperformance is earnings-driven (EPS estimates up, multiple flat-to-down), suggesting the stock is pricing in continued operational execution rather than multiple expansion.</w:t>
      </w:r>
    </w:p>
    <w:p>
      <w:r>
        <w:rPr>
          <w:rFonts w:ascii="Calibri" w:hAnsi="Calibri"/>
          <w:b/>
          <w:color w:val="525866"/>
          <w:sz w:val="22"/>
        </w:rPr>
        <w:t xml:space="preserve">Sector ETF used: </w:t>
      </w:r>
      <w:r>
        <w:rPr>
          <w:rFonts w:ascii="Calibri" w:hAnsi="Calibri"/>
          <w:color w:val="525866"/>
          <w:sz w:val="22"/>
        </w:rPr>
        <w:t>XLY (Consumer Discretionary Select Sector SPDR Fund) — appropriate for HLT as a consumer-facing hospitality/lodging company within the consumer discretionary sector.</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HLT vs. XLY vs. S&amp;P 500 — Indexed Performance Since Q1 2026 Earnings (April 28, 2026 = 100). Source: Yahoo Finance / Stock Price Data.</w:t>
      </w:r>
    </w:p>
    <w:p>
      <w:r>
        <w:rPr>
          <w:rFonts w:ascii="Calibri" w:hAnsi="Calibri"/>
          <w:b/>
          <w:color w:val="525866"/>
          <w:sz w:val="22"/>
        </w:rPr>
        <w:t xml:space="preserve">Key observations: </w:t>
      </w:r>
      <w:r>
        <w:rPr>
          <w:rFonts w:ascii="Calibri" w:hAnsi="Calibri"/>
          <w:color w:val="525866"/>
          <w:sz w:val="22"/>
        </w:rPr>
        <w:t>(1) HLT rallied sharply in late May (peaking near 104–107 indexed) before pulling back in June–July, likely reflecting the broader market rotation and sector-specific concerns; (2) XLY has been a notable underperformer, down ~5.4% since the Q1 print, reflecting consumer discretionary headwinds; (3) HLT’s relative outperformance vs. XLY (+7.7pts) is consistent with the company’s asset-light, fee-based model being viewed as more defensive than the broader consumer discretionary sector; (4) the stock has given back some of its peak gains heading into the print, suggesting the market is not fully pricing in a beat.</w:t>
      </w:r>
    </w:p>
    <w:p>
      <w:r>
        <w:rPr>
          <w:rFonts w:ascii="Calibri" w:hAnsi="Calibri"/>
          <w:b/>
          <w:color w:val="525866"/>
          <w:sz w:val="22"/>
        </w:rPr>
        <w:t xml:space="preserve">Valuation context: </w:t>
      </w:r>
      <w:r>
        <w:rPr>
          <w:rFonts w:ascii="Calibri" w:hAnsi="Calibri"/>
          <w:color w:val="525866"/>
          <w:sz w:val="22"/>
        </w:rPr>
        <w:t>NTM EV/EBITDA has compressed from ~23.5x (at Q1 earnings) to ~22.4x currently, while the 12-month stock return of +23.7% has been almost entirely earnings-driven (EPS estimates up, multiple flat). This is a healthy setup — the stock is not expensive relative to its own history on a multiple basis, and the earnings growth story remains intact.</w:t>
      </w:r>
    </w:p>
    <w:p>
      <w:r>
        <w:rPr>
          <w:rFonts w:ascii="Calibri" w:hAnsi="Calibri"/>
          <w:i/>
          <w:color w:val="525866"/>
          <w:sz w:val="22"/>
        </w:rPr>
        <w:t>Source: Yahoo Finance / Stock Price Data; Visible Alpha (NTM multiples).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U.S. Treasury sanction on the Iranian-linked owner of two Frankfurt Hilton properties</w:t>
      </w:r>
      <w:r>
        <w:rPr>
          <w:rFonts w:ascii="Calibri" w:hAnsi="Calibri"/>
          <w:color w:val="525866"/>
          <w:sz w:val="22"/>
        </w:rPr>
        <w:t xml:space="preserve"> — a reputational and operational risk that HLT is managing by terminating the management agreements; separately, the $1B senior notes offering is balance-sheet housekeeping with no operational read-through.</w:t>
      </w:r>
    </w:p>
    <w:p>
      <w:pPr>
        <w:pStyle w:val="ListBullet"/>
        <w:ind w:left="360" w:hanging="360"/>
      </w:pPr>
      <w:r>
        <w:rPr>
          <w:rFonts w:ascii="Calibri" w:hAnsi="Calibri"/>
          <w:b/>
          <w:color w:val="525866"/>
          <w:sz w:val="22"/>
        </w:rPr>
        <w:t xml:space="preserve">July 16, 2026 — Frankfurt Hotel Exit (Sanctions Risk): </w:t>
      </w:r>
      <w:r>
        <w:rPr>
          <w:rFonts w:ascii="Calibri" w:hAnsi="Calibri"/>
          <w:color w:val="525866"/>
          <w:sz w:val="22"/>
        </w:rPr>
        <w:t xml:space="preserve">Hilton announced plans to terminate two hotel management agreements in Frankfurt after the U.S. Treasury sanctioned Ali Ansari, the registered owner of the properties, as a "key financier" for Iran’s Supreme Leader. Ansari used shell companies under Saint Kitts and Nevis-based Smart Global Ltd. to hold the assets. </w:t>
      </w:r>
      <w:r>
        <w:rPr>
          <w:rFonts w:ascii="Calibri" w:hAnsi="Calibri"/>
          <w:i/>
          <w:color w:val="525866"/>
          <w:sz w:val="22"/>
        </w:rPr>
        <w:t xml:space="preserve">Implication: </w:t>
      </w:r>
      <w:r>
        <w:rPr>
          <w:rFonts w:ascii="Calibri" w:hAnsi="Calibri"/>
          <w:color w:val="525866"/>
          <w:sz w:val="22"/>
        </w:rPr>
        <w:t>Modest revenue impact (two managed hotels), but reputational risk is contained by proactive termination. Demonstrates HLT’s compliance posture. Watch for any analyst questions on the call about broader exposure to sanctioned entities.</w:t>
      </w:r>
    </w:p>
    <w:p>
      <w:pPr>
        <w:pStyle w:val="ListBullet"/>
        <w:ind w:left="360" w:hanging="360"/>
      </w:pPr>
      <w:r>
        <w:rPr>
          <w:rFonts w:ascii="Calibri" w:hAnsi="Calibri"/>
          <w:b/>
          <w:color w:val="525866"/>
          <w:sz w:val="22"/>
        </w:rPr>
        <w:t xml:space="preserve">May 18, 2026 — Shareholder Approval of Expanded Incentive Plan: </w:t>
      </w:r>
      <w:r>
        <w:rPr>
          <w:rFonts w:ascii="Calibri" w:hAnsi="Calibri"/>
          <w:color w:val="525866"/>
          <w:sz w:val="22"/>
        </w:rPr>
        <w:t xml:space="preserve">Shareholders approved an expanded equity incentive plan authorizing new shares. </w:t>
      </w:r>
      <w:r>
        <w:rPr>
          <w:rFonts w:ascii="Calibri" w:hAnsi="Calibri"/>
          <w:i/>
          <w:color w:val="525866"/>
          <w:sz w:val="22"/>
        </w:rPr>
        <w:t xml:space="preserve">Implication: </w:t>
      </w:r>
      <w:r>
        <w:rPr>
          <w:rFonts w:ascii="Calibri" w:hAnsi="Calibri"/>
          <w:color w:val="525866"/>
          <w:sz w:val="22"/>
        </w:rPr>
        <w:t>Modest dilution risk; signals management’s intent to retain and incentivize talent. Not a near-term earnings catalyst.</w:t>
      </w:r>
    </w:p>
    <w:p>
      <w:pPr>
        <w:pStyle w:val="ListBullet"/>
        <w:ind w:left="360" w:hanging="360"/>
      </w:pPr>
      <w:r>
        <w:rPr>
          <w:rFonts w:ascii="Calibri" w:hAnsi="Calibri"/>
          <w:b/>
          <w:color w:val="525866"/>
          <w:sz w:val="22"/>
        </w:rPr>
        <w:t xml:space="preserve">May 11, 2026 — $1B Senior Notes Offering (5.500% due 2031): </w:t>
      </w:r>
      <w:r>
        <w:rPr>
          <w:rFonts w:ascii="Calibri" w:hAnsi="Calibri"/>
          <w:color w:val="525866"/>
          <w:sz w:val="22"/>
        </w:rPr>
        <w:t xml:space="preserve">Hilton Domestic Operating Co. issued $1B in 5.500% Senior Notes due 2031 at par. Net proceeds used to repay $450M of revolving credit facility borrowings, with the remainder for general corporate purposes. </w:t>
      </w:r>
      <w:r>
        <w:rPr>
          <w:rFonts w:ascii="Calibri" w:hAnsi="Calibri"/>
          <w:i/>
          <w:color w:val="525866"/>
          <w:sz w:val="22"/>
        </w:rPr>
        <w:t xml:space="preserve">Implication: </w:t>
      </w:r>
      <w:r>
        <w:rPr>
          <w:rFonts w:ascii="Calibri" w:hAnsi="Calibri"/>
          <w:color w:val="525866"/>
          <w:sz w:val="22"/>
        </w:rPr>
        <w:t>Balance sheet housekeeping; extends debt maturity profile. Slightly higher interest expense going forward, but manageable given strong free cash flow generation. No operational read-through.</w:t>
      </w:r>
    </w:p>
    <w:p>
      <w:pPr>
        <w:pStyle w:val="ListBullet"/>
        <w:ind w:left="360" w:hanging="360"/>
      </w:pPr>
      <w:r>
        <w:rPr>
          <w:rFonts w:ascii="Calibri" w:hAnsi="Calibri"/>
          <w:b/>
          <w:color w:val="525866"/>
          <w:sz w:val="22"/>
        </w:rPr>
        <w:t xml:space="preserve">May 5, 2026 — Executive Retirement / Leadership Reshuffle (8-K): </w:t>
      </w:r>
      <w:r>
        <w:rPr>
          <w:rFonts w:ascii="Calibri" w:hAnsi="Calibri"/>
          <w:color w:val="525866"/>
          <w:sz w:val="22"/>
        </w:rPr>
        <w:t xml:space="preserve">Hilton filed an 8-K disclosing an executive retirement and leadership changes. </w:t>
      </w:r>
      <w:r>
        <w:rPr>
          <w:rFonts w:ascii="Calibri" w:hAnsi="Calibri"/>
          <w:i/>
          <w:color w:val="525866"/>
          <w:sz w:val="22"/>
        </w:rPr>
        <w:t xml:space="preserve">Implication: </w:t>
      </w:r>
      <w:r>
        <w:rPr>
          <w:rFonts w:ascii="Calibri" w:hAnsi="Calibri"/>
          <w:color w:val="525866"/>
          <w:sz w:val="22"/>
        </w:rPr>
        <w:t>Details not fully available; watch for any management commentary on the Q2 call about leadership continuity and succession planning.</w:t>
      </w:r>
    </w:p>
    <w:p>
      <w:pPr>
        <w:pStyle w:val="ListBullet"/>
        <w:ind w:left="360" w:hanging="360"/>
      </w:pPr>
      <w:r>
        <w:rPr>
          <w:rFonts w:ascii="Calibri" w:hAnsi="Calibri"/>
          <w:b/>
          <w:color w:val="525866"/>
          <w:sz w:val="22"/>
        </w:rPr>
        <w:t xml:space="preserve">April 28, 2026 — Q1 2026 Earnings: Beat on EPS and EBITDA; Raised Full-Year Guidance: </w:t>
      </w:r>
      <w:r>
        <w:rPr>
          <w:rFonts w:ascii="Calibri" w:hAnsi="Calibri"/>
          <w:color w:val="525866"/>
          <w:sz w:val="22"/>
        </w:rPr>
        <w:t xml:space="preserve">HLT reported Q1 Adjusted EPS of $2.01 (vs. $1.98 consensus), Adjusted EBITDA of $901M (vs. $893M consensus), and system-wide RevPAR growth of +3.6% (vs. +2.4% consensus). Full-year RevPAR guidance raised to +2% to +3% (from +1% to +2%). Full-year Adjusted EPS guidance raised to $8.79–$8.91. </w:t>
      </w:r>
      <w:r>
        <w:rPr>
          <w:rFonts w:ascii="Calibri" w:hAnsi="Calibri"/>
          <w:i/>
          <w:color w:val="525866"/>
          <w:sz w:val="22"/>
        </w:rPr>
        <w:t xml:space="preserve">Implication: </w:t>
      </w:r>
      <w:r>
        <w:rPr>
          <w:rFonts w:ascii="Calibri" w:hAnsi="Calibri"/>
          <w:color w:val="525866"/>
          <w:sz w:val="22"/>
        </w:rPr>
        <w:t>The Q1 beat and guidance raise set a constructive tone for Q2, but the stock declined modestly on the day as the EPS guidance midpoint came in below street consensus, reflecting Middle East headwinds.</w:t>
      </w:r>
    </w:p>
    <w:p>
      <w:pPr>
        <w:pStyle w:val="ListBullet"/>
        <w:ind w:left="360" w:hanging="360"/>
      </w:pPr>
      <w:r>
        <w:rPr>
          <w:rFonts w:ascii="Calibri" w:hAnsi="Calibri"/>
          <w:b/>
          <w:color w:val="525866"/>
          <w:sz w:val="22"/>
        </w:rPr>
        <w:t xml:space="preserve">March 2026 — Select by Hilton Brand Launch (YOTEL Partnership): </w:t>
      </w:r>
      <w:r>
        <w:rPr>
          <w:rFonts w:ascii="Calibri" w:hAnsi="Calibri"/>
          <w:color w:val="525866"/>
          <w:sz w:val="22"/>
        </w:rPr>
        <w:t xml:space="preserve">Hilton launched the "Select by Hilton" brand platform, with YOTEL as the first partner brand. The model allows established independent brands to access Hilton’s distribution and Honors loyalty while retaining their own identity. </w:t>
      </w:r>
      <w:r>
        <w:rPr>
          <w:rFonts w:ascii="Calibri" w:hAnsi="Calibri"/>
          <w:i/>
          <w:color w:val="525866"/>
          <w:sz w:val="22"/>
        </w:rPr>
        <w:t xml:space="preserve">Implication: </w:t>
      </w:r>
      <w:r>
        <w:rPr>
          <w:rFonts w:ascii="Calibri" w:hAnsi="Calibri"/>
          <w:color w:val="525866"/>
          <w:sz w:val="22"/>
        </w:rPr>
        <w:t>Long-term net unit growth driver; conversions are faster to open (3–6 months) and require less capital. Positive for the development pipeline story.</w:t>
      </w:r>
    </w:p>
    <w:p>
      <w:pPr>
        <w:pStyle w:val="ListBullet"/>
        <w:ind w:left="360" w:hanging="360"/>
      </w:pPr>
      <w:r>
        <w:rPr>
          <w:rFonts w:ascii="Calibri" w:hAnsi="Calibri"/>
          <w:b/>
          <w:color w:val="525866"/>
          <w:sz w:val="22"/>
        </w:rPr>
        <w:t xml:space="preserve">Ongoing — Middle East Conflict Impact: </w:t>
      </w:r>
      <w:r>
        <w:rPr>
          <w:rFonts w:ascii="Calibri" w:hAnsi="Calibri"/>
          <w:color w:val="525866"/>
          <w:sz w:val="22"/>
        </w:rPr>
        <w:t xml:space="preserve">The Middle East represents ~3% of HLT’s business. Management guided for RevPAR down ~50% in Q2 in the region, a ~1.5pt drag on system-wide RevPAR. Peer data (Marriott, Wyndham, Hyatt) suggests the situation has been improving sequentially from April to May/June. </w:t>
      </w:r>
      <w:r>
        <w:rPr>
          <w:rFonts w:ascii="Calibri" w:hAnsi="Calibri"/>
          <w:i/>
          <w:color w:val="525866"/>
          <w:sz w:val="22"/>
        </w:rPr>
        <w:t xml:space="preserve">Implication: </w:t>
      </w:r>
      <w:r>
        <w:rPr>
          <w:rFonts w:ascii="Calibri" w:hAnsi="Calibri"/>
          <w:color w:val="525866"/>
          <w:sz w:val="22"/>
        </w:rPr>
        <w:t>If the Middle East drag was less severe than the ~50% assumed, HLT could beat on RevPAR and raise full-year guidance. This is the single biggest swing factor for the print.</w:t>
      </w:r>
    </w:p>
    <w:p>
      <w:r>
        <w:br w:type="page"/>
      </w:r>
    </w:p>
    <w:p>
      <w:pPr>
        <w:pStyle w:val="Heading2"/>
      </w:pPr>
      <w:r>
        <w:rPr>
          <w:rFonts w:ascii="Calibri" w:hAnsi="Calibri"/>
          <w:b/>
          <w:color w:val="3B4259"/>
          <w:sz w:val="28"/>
        </w:rPr>
        <w:t>7. Peer Commentary Read-Through (Last 60 Days)</w:t>
      </w:r>
    </w:p>
    <w:p>
      <w:r>
        <w:rPr>
          <w:rFonts w:ascii="Calibri" w:hAnsi="Calibri"/>
          <w:b/>
          <w:color w:val="525866"/>
          <w:sz w:val="22"/>
        </w:rPr>
        <w:t xml:space="preserve">Key Takeaway: </w:t>
      </w:r>
      <w:r>
        <w:rPr>
          <w:rFonts w:ascii="Calibri" w:hAnsi="Calibri"/>
          <w:color w:val="525866"/>
          <w:sz w:val="22"/>
        </w:rPr>
        <w:t xml:space="preserve">Peer commentary from Wyndham (Q2 2026 actual results), Marriott (June 1 conference), and Hyatt (June 2–3 conferences) is uniformly constructive for HLT’s Q2 print — </w:t>
      </w:r>
      <w:r>
        <w:rPr>
          <w:rFonts w:ascii="Calibri" w:hAnsi="Calibri"/>
          <w:b/>
          <w:color w:val="525866"/>
          <w:sz w:val="22"/>
        </w:rPr>
        <w:t>U.S. demand is accelerating, the Middle East is improving sequentially, and group bookings are solid</w:t>
      </w:r>
      <w:r>
        <w:rPr>
          <w:rFonts w:ascii="Calibri" w:hAnsi="Calibri"/>
          <w:color w:val="525866"/>
          <w:sz w:val="22"/>
        </w:rPr>
        <w:t>; the read-through suggests HLT’s Q2 RevPAR likely came in at or above the 2–3% guidance range.</w:t>
      </w:r>
    </w:p>
    <w:p>
      <w:r>
        <w:rPr>
          <w:rFonts w:ascii="Calibri" w:hAnsi="Calibri"/>
          <w:b/>
          <w:i/>
          <w:color w:val="525866"/>
          <w:sz w:val="22"/>
        </w:rPr>
        <w:t xml:space="preserve">Note on methodology: </w:t>
      </w:r>
      <w:r>
        <w:rPr>
          <w:rFonts w:ascii="Calibri" w:hAnsi="Calibri"/>
          <w:i/>
          <w:color w:val="525866"/>
          <w:sz w:val="22"/>
        </w:rPr>
        <w:t>Only commentary made during or after each peer’s most recent reporting period that addresses Q2 2026 / current-quarter trends or forward outlook is included below. Purely retrospective prior-quarter commentary has been excluded.</w:t>
      </w:r>
    </w:p>
    <w:p>
      <w:pPr>
        <w:pStyle w:val="Heading3"/>
      </w:pPr>
      <w:r>
        <w:rPr>
          <w:rFonts w:ascii="Calibri" w:hAnsi="Calibri"/>
          <w:b/>
          <w:color w:val="3B4259"/>
          <w:sz w:val="24"/>
        </w:rPr>
        <w:t>Wyndham Hotels &amp; Resorts (WH) — Q2 2026 Earnings (July 22–23, 2026)</w:t>
      </w:r>
    </w:p>
    <w:p>
      <w:r>
        <w:rPr>
          <w:rFonts w:ascii="Calibri" w:hAnsi="Calibri"/>
          <w:b/>
          <w:color w:val="525866"/>
          <w:sz w:val="22"/>
        </w:rPr>
        <w:t xml:space="preserve">Relevance: </w:t>
      </w:r>
      <w:r>
        <w:rPr>
          <w:rFonts w:ascii="Calibri" w:hAnsi="Calibri"/>
          <w:color w:val="525866"/>
          <w:sz w:val="22"/>
        </w:rPr>
        <w:t>Wyndham is the most direct read-through as it reported actual Q2 2026 results just days before HLT’s print. WH skews more toward economy/midscale (vs. HLT’s broader chain-scale mix), but the U.S. demand and Middle East commentary is highly relevant.</w:t>
      </w:r>
    </w:p>
    <w:p>
      <w:pPr>
        <w:pStyle w:val="ListBullet"/>
        <w:ind w:left="360" w:hanging="360"/>
      </w:pPr>
      <w:r>
        <w:rPr>
          <w:rFonts w:ascii="Calibri" w:hAnsi="Calibri"/>
          <w:b/>
          <w:color w:val="525866"/>
          <w:sz w:val="22"/>
        </w:rPr>
        <w:t xml:space="preserve">U.S. RevPAR +2% in Q2, 120bps ahead of expectations: </w:t>
      </w:r>
      <w:r>
        <w:rPr>
          <w:rFonts w:ascii="Calibri" w:hAnsi="Calibri"/>
          <w:color w:val="525866"/>
          <w:sz w:val="22"/>
        </w:rPr>
        <w:t xml:space="preserve">"U.S. RevPAR grew 2%, 120 basis points ahead of our expectations." The three largest U.S. states (Texas, California, Florida) improved 700bps sequentially from Q1 (down 3%) to Q2 (up 4%). </w:t>
      </w:r>
      <w:r>
        <w:rPr>
          <w:rFonts w:ascii="Calibri" w:hAnsi="Calibri"/>
          <w:i/>
          <w:color w:val="525866"/>
          <w:sz w:val="22"/>
        </w:rPr>
        <w:t xml:space="preserve">HLT Read-Through: </w:t>
      </w:r>
      <w:r>
        <w:rPr>
          <w:rFonts w:ascii="Calibri" w:hAnsi="Calibri"/>
          <w:color w:val="525866"/>
          <w:sz w:val="22"/>
        </w:rPr>
        <w:t>Strongly positive for HLT’s U.S. RevPAR, which management guided to be at the high end or above system-wide guidance. WH’s beat suggests the U.S. demand environment was better than feared.</w:t>
      </w:r>
    </w:p>
    <w:p>
      <w:pPr>
        <w:pStyle w:val="ListBullet"/>
        <w:ind w:left="360" w:hanging="360"/>
      </w:pPr>
      <w:r>
        <w:rPr>
          <w:rFonts w:ascii="Calibri" w:hAnsi="Calibri"/>
          <w:b/>
          <w:color w:val="525866"/>
          <w:sz w:val="22"/>
        </w:rPr>
        <w:t xml:space="preserve">Momentum accelerated through Q2 and into July: </w:t>
      </w:r>
      <w:r>
        <w:rPr>
          <w:rFonts w:ascii="Calibri" w:hAnsi="Calibri"/>
          <w:color w:val="525866"/>
          <w:sz w:val="22"/>
        </w:rPr>
        <w:t xml:space="preserve">"The 1% April month-to-date RevPAR growth that we reported on our last earnings call continued to pick up throughout the remainder of April, with momentum accelerating from May into June." Strong leisure and everyday business travel trends continued into July. </w:t>
      </w:r>
      <w:r>
        <w:rPr>
          <w:rFonts w:ascii="Calibri" w:hAnsi="Calibri"/>
          <w:i/>
          <w:color w:val="525866"/>
          <w:sz w:val="22"/>
        </w:rPr>
        <w:t xml:space="preserve">HLT Read-Through: </w:t>
      </w:r>
      <w:r>
        <w:rPr>
          <w:rFonts w:ascii="Calibri" w:hAnsi="Calibri"/>
          <w:color w:val="525866"/>
          <w:sz w:val="22"/>
        </w:rPr>
        <w:t>Consistent with HLT management’s April commentary about seeing improving trends. Suggests Q2 was not front-loaded.</w:t>
      </w:r>
    </w:p>
    <w:p>
      <w:pPr>
        <w:pStyle w:val="ListBullet"/>
        <w:ind w:left="360" w:hanging="360"/>
      </w:pPr>
      <w:r>
        <w:rPr>
          <w:rFonts w:ascii="Calibri" w:hAnsi="Calibri"/>
          <w:b/>
          <w:color w:val="525866"/>
          <w:sz w:val="22"/>
        </w:rPr>
        <w:t xml:space="preserve">Middle East down 45% in Q2, but improving: </w:t>
      </w:r>
      <w:r>
        <w:rPr>
          <w:rFonts w:ascii="Calibri" w:hAnsi="Calibri"/>
          <w:color w:val="525866"/>
          <w:sz w:val="22"/>
        </w:rPr>
        <w:t xml:space="preserve">"EMEA declined 6% as strong growth in Turkey and India was more than offset by softness in the Middle East, where RevPAR declined from down 5% in Q1 to down 45% in Q2." Excluding Middle East and Revo, EMEA was up 5%. </w:t>
      </w:r>
      <w:r>
        <w:rPr>
          <w:rFonts w:ascii="Calibri" w:hAnsi="Calibri"/>
          <w:i/>
          <w:color w:val="525866"/>
          <w:sz w:val="22"/>
        </w:rPr>
        <w:t xml:space="preserve">HLT Read-Through: </w:t>
      </w:r>
      <w:r>
        <w:rPr>
          <w:rFonts w:ascii="Calibri" w:hAnsi="Calibri"/>
          <w:color w:val="525866"/>
          <w:sz w:val="22"/>
        </w:rPr>
        <w:t>The 45% Middle East decline is slightly better than HLT’s ~50% assumption, suggesting HLT’s Middle East drag may have been slightly less severe than guided. This is a modest positive.</w:t>
      </w:r>
    </w:p>
    <w:p>
      <w:pPr>
        <w:pStyle w:val="ListBullet"/>
        <w:ind w:left="360" w:hanging="360"/>
      </w:pPr>
      <w:r>
        <w:rPr>
          <w:rFonts w:ascii="Calibri" w:hAnsi="Calibri"/>
          <w:b/>
          <w:color w:val="525866"/>
          <w:sz w:val="22"/>
        </w:rPr>
        <w:t xml:space="preserve">H2 2026 outlook raised; U.S. RevPAR +2% expected: </w:t>
      </w:r>
      <w:r>
        <w:rPr>
          <w:rFonts w:ascii="Calibri" w:hAnsi="Calibri"/>
          <w:color w:val="525866"/>
          <w:sz w:val="22"/>
        </w:rPr>
        <w:t xml:space="preserve">WH raised its global RevPAR outlook to flat to +1% (up 100bps at the low end) and expects U.S. RevPAR growth of +2% in H2. </w:t>
      </w:r>
      <w:r>
        <w:rPr>
          <w:rFonts w:ascii="Calibri" w:hAnsi="Calibri"/>
          <w:i/>
          <w:color w:val="525866"/>
          <w:sz w:val="22"/>
        </w:rPr>
        <w:t xml:space="preserve">HLT Read-Through: </w:t>
      </w:r>
      <w:r>
        <w:rPr>
          <w:rFonts w:ascii="Calibri" w:hAnsi="Calibri"/>
          <w:color w:val="525866"/>
          <w:sz w:val="22"/>
        </w:rPr>
        <w:t>Positive for HLT’s full-year guidance trajectory; if WH is raising, HLT likely has room to raise as well.</w:t>
      </w:r>
    </w:p>
    <w:p>
      <w:pPr>
        <w:pStyle w:val="ListBullet"/>
        <w:ind w:left="360" w:hanging="360"/>
      </w:pPr>
      <w:r>
        <w:rPr>
          <w:rFonts w:ascii="Calibri" w:hAnsi="Calibri"/>
          <w:b/>
          <w:color w:val="525866"/>
          <w:sz w:val="22"/>
        </w:rPr>
        <w:t xml:space="preserve">Consumer health remains solid; booking lead times stable at ~15 days: </w:t>
      </w:r>
      <w:r>
        <w:rPr>
          <w:rFonts w:ascii="Calibri" w:hAnsi="Calibri"/>
          <w:color w:val="525866"/>
          <w:sz w:val="22"/>
        </w:rPr>
        <w:t xml:space="preserve">Average distance driven to resorts was 360 miles (up 30 miles from Q1), length of stay is lengthening, and wage growth is "robust enough to support increased leisure spending." </w:t>
      </w:r>
      <w:r>
        <w:rPr>
          <w:rFonts w:ascii="Calibri" w:hAnsi="Calibri"/>
          <w:i/>
          <w:color w:val="525866"/>
          <w:sz w:val="22"/>
        </w:rPr>
        <w:t xml:space="preserve">HLT Read-Through: </w:t>
      </w:r>
      <w:r>
        <w:rPr>
          <w:rFonts w:ascii="Calibri" w:hAnsi="Calibri"/>
          <w:color w:val="525866"/>
          <w:sz w:val="22"/>
        </w:rPr>
        <w:t>Supports HLT’s thesis of a "C-shaped economy" convergence with mid-market and lower chain scales catching up to luxury.</w:t>
      </w:r>
    </w:p>
    <w:p>
      <w:pPr>
        <w:pStyle w:val="Heading3"/>
      </w:pPr>
      <w:r>
        <w:rPr>
          <w:rFonts w:ascii="Calibri" w:hAnsi="Calibri"/>
          <w:b/>
          <w:color w:val="3B4259"/>
          <w:sz w:val="24"/>
        </w:rPr>
        <w:t>Marriott International (MAR) — Morgan Stanley Travel &amp; Leisure Conference (June 1, 2026)</w:t>
      </w:r>
    </w:p>
    <w:p>
      <w:r>
        <w:rPr>
          <w:rFonts w:ascii="Calibri" w:hAnsi="Calibri"/>
          <w:b/>
          <w:color w:val="525866"/>
          <w:sz w:val="22"/>
        </w:rPr>
        <w:t xml:space="preserve">Relevance: </w:t>
      </w:r>
      <w:r>
        <w:rPr>
          <w:rFonts w:ascii="Calibri" w:hAnsi="Calibri"/>
          <w:color w:val="525866"/>
          <w:sz w:val="22"/>
        </w:rPr>
        <w:t>Marriott is HLT’s closest peer (similar chain-scale mix, global footprint). CFO Jennifer Mason provided detailed Q2 2026 current-quarter commentary at the conference, making this a high-quality read-through.</w:t>
      </w:r>
    </w:p>
    <w:p>
      <w:pPr>
        <w:pStyle w:val="ListBullet"/>
        <w:ind w:left="360" w:hanging="360"/>
      </w:pPr>
      <w:r>
        <w:rPr>
          <w:rFonts w:ascii="Calibri" w:hAnsi="Calibri"/>
          <w:b/>
          <w:color w:val="525866"/>
          <w:sz w:val="22"/>
        </w:rPr>
        <w:t xml:space="preserve">April RevPAR +1% globally, U.S. &amp; Canada +4%: </w:t>
      </w:r>
      <w:r>
        <w:rPr>
          <w:rFonts w:ascii="Calibri" w:hAnsi="Calibri"/>
          <w:color w:val="525866"/>
          <w:sz w:val="22"/>
        </w:rPr>
        <w:t xml:space="preserve">"April RevPAR grew just over 1% year-over-year, and that is very much in line with where we were expecting in our Q1 earnings call. U.S. and Canada continues to be strong. We have RevPAR up just over 4%." </w:t>
      </w:r>
      <w:r>
        <w:rPr>
          <w:rFonts w:ascii="Calibri" w:hAnsi="Calibri"/>
          <w:i/>
          <w:color w:val="525866"/>
          <w:sz w:val="22"/>
        </w:rPr>
        <w:t xml:space="preserve">HLT Read-Through: </w:t>
      </w:r>
      <w:r>
        <w:rPr>
          <w:rFonts w:ascii="Calibri" w:hAnsi="Calibri"/>
          <w:color w:val="525866"/>
          <w:sz w:val="22"/>
        </w:rPr>
        <w:t>Consistent with HLT’s Q2 guidance of +2–3% system-wide; U.S. strength at +4% is a positive signal for HLT’s U.S. RevPAR (guided at high end or above system-wide).</w:t>
      </w:r>
    </w:p>
    <w:p>
      <w:pPr>
        <w:pStyle w:val="ListBullet"/>
        <w:ind w:left="360" w:hanging="360"/>
      </w:pPr>
      <w:r>
        <w:rPr>
          <w:rFonts w:ascii="Calibri" w:hAnsi="Calibri"/>
          <w:b/>
          <w:color w:val="525866"/>
          <w:sz w:val="22"/>
        </w:rPr>
        <w:t xml:space="preserve">Middle East RevPAR down ~60% in April, but May improving: </w:t>
      </w:r>
      <w:r>
        <w:rPr>
          <w:rFonts w:ascii="Calibri" w:hAnsi="Calibri"/>
          <w:color w:val="525866"/>
          <w:sz w:val="22"/>
        </w:rPr>
        <w:t xml:space="preserve">"For the Middle East in April, RevPAR was down about 60%... May, though, is not down as much, and we still feel good about our Q2 forecast of RevPAR down 50%." </w:t>
      </w:r>
      <w:r>
        <w:rPr>
          <w:rFonts w:ascii="Calibri" w:hAnsi="Calibri"/>
          <w:i/>
          <w:color w:val="525866"/>
          <w:sz w:val="22"/>
        </w:rPr>
        <w:t xml:space="preserve">HLT Read-Through: </w:t>
      </w:r>
      <w:r>
        <w:rPr>
          <w:rFonts w:ascii="Calibri" w:hAnsi="Calibri"/>
          <w:color w:val="525866"/>
          <w:sz w:val="22"/>
        </w:rPr>
        <w:t>The sequential improvement from April to May in the Middle East is a positive signal. HLT guided for ~50% Middle East RevPAR decline in Q2; if the trend continued to improve in June, the actual drag could be less than assumed.</w:t>
      </w:r>
    </w:p>
    <w:p>
      <w:pPr>
        <w:pStyle w:val="ListBullet"/>
        <w:ind w:left="360" w:hanging="360"/>
      </w:pPr>
      <w:r>
        <w:rPr>
          <w:rFonts w:ascii="Calibri" w:hAnsi="Calibri"/>
          <w:b/>
          <w:color w:val="525866"/>
          <w:sz w:val="22"/>
        </w:rPr>
        <w:t xml:space="preserve">Summer bookings pacing well; June/July U.S. &amp; Canada up nicely: </w:t>
      </w:r>
      <w:r>
        <w:rPr>
          <w:rFonts w:ascii="Calibri" w:hAnsi="Calibri"/>
          <w:color w:val="525866"/>
          <w:sz w:val="22"/>
        </w:rPr>
        <w:t xml:space="preserve">"Our June and July bookings in the U.S. and Canada are pacing up nicely, and that’s both in World Cup markets and non-World Cup markets." Memorial Day weekend U.S. &amp; Canada RevPAR was up nearly 3% YoY. </w:t>
      </w:r>
      <w:r>
        <w:rPr>
          <w:rFonts w:ascii="Calibri" w:hAnsi="Calibri"/>
          <w:i/>
          <w:color w:val="525866"/>
          <w:sz w:val="22"/>
        </w:rPr>
        <w:t xml:space="preserve">HLT Read-Through: </w:t>
      </w:r>
      <w:r>
        <w:rPr>
          <w:rFonts w:ascii="Calibri" w:hAnsi="Calibri"/>
          <w:color w:val="525866"/>
          <w:sz w:val="22"/>
        </w:rPr>
        <w:t>Positive for HLT’s Q2 exit rate and Q3 setup. World Cup demand is an incremental tailwind.</w:t>
      </w:r>
    </w:p>
    <w:p>
      <w:pPr>
        <w:pStyle w:val="ListBullet"/>
        <w:ind w:left="360" w:hanging="360"/>
      </w:pPr>
      <w:r>
        <w:rPr>
          <w:rFonts w:ascii="Calibri" w:hAnsi="Calibri"/>
          <w:b/>
          <w:color w:val="525866"/>
          <w:sz w:val="22"/>
        </w:rPr>
        <w:t xml:space="preserve">Group RevPAR +5% in Q1; strong pace for full year: </w:t>
      </w:r>
      <w:r>
        <w:rPr>
          <w:rFonts w:ascii="Calibri" w:hAnsi="Calibri"/>
          <w:color w:val="525866"/>
          <w:sz w:val="22"/>
        </w:rPr>
        <w:t xml:space="preserve">"Group travel also has been healthy with group RevPAR up over 5% in the first quarter, and we continue to see great pace for the full year." </w:t>
      </w:r>
      <w:r>
        <w:rPr>
          <w:rFonts w:ascii="Calibri" w:hAnsi="Calibri"/>
          <w:i/>
          <w:color w:val="525866"/>
          <w:sz w:val="22"/>
        </w:rPr>
        <w:t xml:space="preserve">HLT Read-Through: </w:t>
      </w:r>
      <w:r>
        <w:rPr>
          <w:rFonts w:ascii="Calibri" w:hAnsi="Calibri"/>
          <w:color w:val="525866"/>
          <w:sz w:val="22"/>
        </w:rPr>
        <w:t>Consistent with HLT’s group commentary on the Q1 call (group RevPAR +4.3% in Q1, expected to lead for the full year).</w:t>
      </w:r>
    </w:p>
    <w:p>
      <w:pPr>
        <w:pStyle w:val="ListBullet"/>
        <w:ind w:left="360" w:hanging="360"/>
      </w:pPr>
      <w:r>
        <w:rPr>
          <w:rFonts w:ascii="Calibri" w:hAnsi="Calibri"/>
          <w:b/>
          <w:color w:val="525866"/>
          <w:sz w:val="22"/>
        </w:rPr>
        <w:t xml:space="preserve">Middle East impact ~100–125bps on full-year RevPAR: </w:t>
      </w:r>
      <w:r>
        <w:rPr>
          <w:rFonts w:ascii="Calibri" w:hAnsi="Calibri"/>
          <w:color w:val="525866"/>
          <w:sz w:val="22"/>
        </w:rPr>
        <w:t xml:space="preserve">"We are expecting the impact to full year RevPAR to be about 100 to 125 basis points, mainly coming from that Middle East impact." </w:t>
      </w:r>
      <w:r>
        <w:rPr>
          <w:rFonts w:ascii="Calibri" w:hAnsi="Calibri"/>
          <w:i/>
          <w:color w:val="525866"/>
          <w:sz w:val="22"/>
        </w:rPr>
        <w:t xml:space="preserve">HLT Read-Through: </w:t>
      </w:r>
      <w:r>
        <w:rPr>
          <w:rFonts w:ascii="Calibri" w:hAnsi="Calibri"/>
          <w:color w:val="525866"/>
          <w:sz w:val="22"/>
        </w:rPr>
        <w:t>HLT guided for 0.5–1.0pt full-year impact; MAR’s 100–125bps estimate is slightly higher, suggesting HLT may be more conservatively positioned.</w:t>
      </w:r>
    </w:p>
    <w:p>
      <w:pPr>
        <w:pStyle w:val="ListBullet"/>
        <w:ind w:left="360" w:hanging="360"/>
      </w:pPr>
      <w:r>
        <w:rPr>
          <w:rFonts w:ascii="Calibri" w:hAnsi="Calibri"/>
          <w:b/>
          <w:color w:val="525866"/>
          <w:sz w:val="22"/>
        </w:rPr>
        <w:t xml:space="preserve">Leisure segment remains robust; U.S. &amp; Canada at high end of 2–3% full-year range: </w:t>
      </w:r>
      <w:r>
        <w:rPr>
          <w:rFonts w:ascii="Calibri" w:hAnsi="Calibri"/>
          <w:color w:val="525866"/>
          <w:sz w:val="22"/>
        </w:rPr>
        <w:t xml:space="preserve">"Certainly, based on what we’ve been seeing to date, we’re very confident in the leisure segment. It continues to be strong." MAR projects U.S. &amp; Canada RevPAR at the high end of the global 2–3% range for the full year. </w:t>
      </w:r>
      <w:r>
        <w:rPr>
          <w:rFonts w:ascii="Calibri" w:hAnsi="Calibri"/>
          <w:i/>
          <w:color w:val="525866"/>
          <w:sz w:val="22"/>
        </w:rPr>
        <w:t xml:space="preserve">HLT Read-Through: </w:t>
      </w:r>
      <w:r>
        <w:rPr>
          <w:rFonts w:ascii="Calibri" w:hAnsi="Calibri"/>
          <w:color w:val="525866"/>
          <w:sz w:val="22"/>
        </w:rPr>
        <w:t>Supports HLT’s full-year guidance and the C-shaped economy thesis.</w:t>
      </w:r>
    </w:p>
    <w:p>
      <w:pPr>
        <w:pStyle w:val="Heading3"/>
      </w:pPr>
      <w:r>
        <w:rPr>
          <w:rFonts w:ascii="Calibri" w:hAnsi="Calibri"/>
          <w:b/>
          <w:color w:val="3B4259"/>
          <w:sz w:val="24"/>
        </w:rPr>
        <w:t>Hyatt Hotels (H) — Morgan Stanley Travel &amp; Leisure Conference (June 2, 2026) &amp; Baird Conference (June 3, 2026)</w:t>
      </w:r>
    </w:p>
    <w:p>
      <w:r>
        <w:rPr>
          <w:rFonts w:ascii="Calibri" w:hAnsi="Calibri"/>
          <w:b/>
          <w:color w:val="525866"/>
          <w:sz w:val="22"/>
        </w:rPr>
        <w:t xml:space="preserve">Relevance: </w:t>
      </w:r>
      <w:r>
        <w:rPr>
          <w:rFonts w:ascii="Calibri" w:hAnsi="Calibri"/>
          <w:color w:val="525866"/>
          <w:sz w:val="22"/>
        </w:rPr>
        <w:t>Hyatt skews more toward luxury/upper-upscale (similar to HLT’s premium brands). Management provided explicit Q2 2026 current-quarter commentary at both conferences.</w:t>
      </w:r>
    </w:p>
    <w:p>
      <w:pPr>
        <w:pStyle w:val="ListBullet"/>
        <w:ind w:left="360" w:hanging="360"/>
      </w:pPr>
      <w:r>
        <w:rPr>
          <w:rFonts w:ascii="Calibri" w:hAnsi="Calibri"/>
          <w:b/>
          <w:color w:val="525866"/>
          <w:sz w:val="22"/>
        </w:rPr>
        <w:t xml:space="preserve">Q2 2026 tracking better than expected: </w:t>
      </w:r>
      <w:r>
        <w:rPr>
          <w:rFonts w:ascii="Calibri" w:hAnsi="Calibri"/>
          <w:color w:val="525866"/>
          <w:sz w:val="22"/>
        </w:rPr>
        <w:t xml:space="preserve">"As we sit here today and as compared to what we said on our first call, we feel really good. The better results than we had anticipated or forecasted in April and even into May, which is preliminary at this point." At the Baird conference: "April was a little bit better than expectations... May, we still have preliminary results right now, but certainly shaping up better than we were expecting, primarily driven by strength in the United States, strength in Asia." </w:t>
      </w:r>
      <w:r>
        <w:rPr>
          <w:rFonts w:ascii="Calibri" w:hAnsi="Calibri"/>
          <w:i/>
          <w:color w:val="525866"/>
          <w:sz w:val="22"/>
        </w:rPr>
        <w:t xml:space="preserve">HLT Read-Through: </w:t>
      </w:r>
      <w:r>
        <w:rPr>
          <w:rFonts w:ascii="Calibri" w:hAnsi="Calibri"/>
          <w:color w:val="525866"/>
          <w:sz w:val="22"/>
        </w:rPr>
        <w:t>Strongly positive. Hyatt’s explicit statement that Q2 is tracking better than expected is the clearest read-through for HLT’s Q2 RevPAR.</w:t>
      </w:r>
    </w:p>
    <w:p>
      <w:pPr>
        <w:pStyle w:val="ListBullet"/>
        <w:ind w:left="360" w:hanging="360"/>
      </w:pPr>
      <w:r>
        <w:rPr>
          <w:rFonts w:ascii="Calibri" w:hAnsi="Calibri"/>
          <w:b/>
          <w:color w:val="525866"/>
          <w:sz w:val="22"/>
        </w:rPr>
        <w:t xml:space="preserve">Q2 RevPAR guidance of ~3% — "very confident about that number, better": </w:t>
      </w:r>
      <w:r>
        <w:rPr>
          <w:rFonts w:ascii="Calibri" w:hAnsi="Calibri"/>
          <w:color w:val="525866"/>
          <w:sz w:val="22"/>
        </w:rPr>
        <w:t xml:space="preserve">"We had given some Q2 sort of indication. We said about 3%. We feel very confident about that number better." </w:t>
      </w:r>
      <w:r>
        <w:rPr>
          <w:rFonts w:ascii="Calibri" w:hAnsi="Calibri"/>
          <w:i/>
          <w:color w:val="525866"/>
          <w:sz w:val="22"/>
        </w:rPr>
        <w:t xml:space="preserve">HLT Read-Through: </w:t>
      </w:r>
      <w:r>
        <w:rPr>
          <w:rFonts w:ascii="Calibri" w:hAnsi="Calibri"/>
          <w:color w:val="525866"/>
          <w:sz w:val="22"/>
        </w:rPr>
        <w:t>Hyatt’s confidence in beating its own ~3% Q2 RevPAR guidance is a strong positive signal for HLT, which guided for 2–3%.</w:t>
      </w:r>
    </w:p>
    <w:p>
      <w:pPr>
        <w:pStyle w:val="ListBullet"/>
        <w:ind w:left="360" w:hanging="360"/>
      </w:pPr>
      <w:r>
        <w:rPr>
          <w:rFonts w:ascii="Calibri" w:hAnsi="Calibri"/>
          <w:b/>
          <w:color w:val="525866"/>
          <w:sz w:val="22"/>
        </w:rPr>
        <w:t xml:space="preserve">Middle East improving sequentially: </w:t>
      </w:r>
      <w:r>
        <w:rPr>
          <w:rFonts w:ascii="Calibri" w:hAnsi="Calibri"/>
          <w:color w:val="525866"/>
          <w:sz w:val="22"/>
        </w:rPr>
        <w:t xml:space="preserve">"Middle East has been the one area, although gotten progressively better in April and now even in May compared to April." At Baird: "Middle East looks like it’s going to be less worse than April, but obviously, still a lot of variability going on in that part of the world." </w:t>
      </w:r>
      <w:r>
        <w:rPr>
          <w:rFonts w:ascii="Calibri" w:hAnsi="Calibri"/>
          <w:i/>
          <w:color w:val="525866"/>
          <w:sz w:val="22"/>
        </w:rPr>
        <w:t xml:space="preserve">HLT Read-Through: </w:t>
      </w:r>
      <w:r>
        <w:rPr>
          <w:rFonts w:ascii="Calibri" w:hAnsi="Calibri"/>
          <w:color w:val="525866"/>
          <w:sz w:val="22"/>
        </w:rPr>
        <w:t>Consistent with Marriott’s commentary. The sequential improvement in the Middle East is a positive for HLT’s Q2 RevPAR vs. the ~50% decline assumed in guidance.</w:t>
      </w:r>
    </w:p>
    <w:p>
      <w:pPr>
        <w:pStyle w:val="ListBullet"/>
        <w:ind w:left="360" w:hanging="360"/>
      </w:pPr>
      <w:r>
        <w:rPr>
          <w:rFonts w:ascii="Calibri" w:hAnsi="Calibri"/>
          <w:b/>
          <w:color w:val="525866"/>
          <w:sz w:val="22"/>
        </w:rPr>
        <w:t xml:space="preserve">U.S. strength providing "great confidence": </w:t>
      </w:r>
      <w:r>
        <w:rPr>
          <w:rFonts w:ascii="Calibri" w:hAnsi="Calibri"/>
          <w:color w:val="525866"/>
          <w:sz w:val="22"/>
        </w:rPr>
        <w:t xml:space="preserve">"We see the U.S. being as strong as it is, that gives us great confidence [in the future]." </w:t>
      </w:r>
      <w:r>
        <w:rPr>
          <w:rFonts w:ascii="Calibri" w:hAnsi="Calibri"/>
          <w:i/>
          <w:color w:val="525866"/>
          <w:sz w:val="22"/>
        </w:rPr>
        <w:t xml:space="preserve">HLT Read-Through: </w:t>
      </w:r>
      <w:r>
        <w:rPr>
          <w:rFonts w:ascii="Calibri" w:hAnsi="Calibri"/>
          <w:color w:val="525866"/>
          <w:sz w:val="22"/>
        </w:rPr>
        <w:t>Consistent with HLT’s C-shaped economy thesis and management’s April commentary about improving midweek demand across all chain scales.</w:t>
      </w:r>
    </w:p>
    <w:p>
      <w:pPr>
        <w:pStyle w:val="ListBullet"/>
        <w:ind w:left="360" w:hanging="360"/>
      </w:pPr>
      <w:r>
        <w:rPr>
          <w:rFonts w:ascii="Calibri" w:hAnsi="Calibri"/>
          <w:b/>
          <w:color w:val="525866"/>
          <w:sz w:val="22"/>
        </w:rPr>
        <w:t xml:space="preserve">Group bookings "really solid"; balance year up mid-single digits: </w:t>
      </w:r>
      <w:r>
        <w:rPr>
          <w:rFonts w:ascii="Calibri" w:hAnsi="Calibri"/>
          <w:color w:val="525866"/>
          <w:sz w:val="22"/>
        </w:rPr>
        <w:t xml:space="preserve">"Group continues to look really solid... balance year was up kind of mid-single digits." Booking window "has changed not that much" and is "probably more stable certainly than it was when we were sitting here with you a year ago." </w:t>
      </w:r>
      <w:r>
        <w:rPr>
          <w:rFonts w:ascii="Calibri" w:hAnsi="Calibri"/>
          <w:i/>
          <w:color w:val="525866"/>
          <w:sz w:val="22"/>
        </w:rPr>
        <w:t xml:space="preserve">HLT Read-Through: </w:t>
      </w:r>
      <w:r>
        <w:rPr>
          <w:rFonts w:ascii="Calibri" w:hAnsi="Calibri"/>
          <w:color w:val="525866"/>
          <w:sz w:val="22"/>
        </w:rPr>
        <w:t>Positive for HLT’s group segment, which management expected to lead for the full year.</w:t>
      </w:r>
    </w:p>
    <w:p>
      <w:pPr>
        <w:pStyle w:val="ListBullet"/>
        <w:ind w:left="360" w:hanging="360"/>
      </w:pPr>
      <w:r>
        <w:rPr>
          <w:rFonts w:ascii="Calibri" w:hAnsi="Calibri"/>
          <w:b/>
          <w:color w:val="525866"/>
          <w:sz w:val="22"/>
        </w:rPr>
        <w:t xml:space="preserve">Luxury outperforming, but select service improving: </w:t>
      </w:r>
      <w:r>
        <w:rPr>
          <w:rFonts w:ascii="Calibri" w:hAnsi="Calibri"/>
          <w:color w:val="525866"/>
          <w:sz w:val="22"/>
        </w:rPr>
        <w:t xml:space="preserve">"We’re still seeing our luxury hotels performing better than select service, especially in the United States, but select service is starting to look a little bit better year-over-year." </w:t>
      </w:r>
      <w:r>
        <w:rPr>
          <w:rFonts w:ascii="Calibri" w:hAnsi="Calibri"/>
          <w:i/>
          <w:color w:val="525866"/>
          <w:sz w:val="22"/>
        </w:rPr>
        <w:t xml:space="preserve">HLT Read-Through: </w:t>
      </w:r>
      <w:r>
        <w:rPr>
          <w:rFonts w:ascii="Calibri" w:hAnsi="Calibri"/>
          <w:color w:val="525866"/>
          <w:sz w:val="22"/>
        </w:rPr>
        <w:t>Directly supports HLT’s C-shaped economy thesis — the convergence of demand across chain scales is now visible in peer data.</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Key Q2 2026 Data Point</w:t>
            </w:r>
          </w:p>
        </w:tc>
        <w:tc>
          <w:tcPr>
            <w:tcW w:type="dxa" w:w="1728"/>
            <w:shd w:val="clear" w:color="auto" w:fill="3B4259"/>
          </w:tcPr>
          <w:p>
            <w:r>
              <w:rPr>
                <w:rFonts w:ascii="Calibri" w:hAnsi="Calibri"/>
                <w:b/>
                <w:color w:val="FFFFFF"/>
                <w:sz w:val="22"/>
              </w:rPr>
              <w:t>HLT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Wyndham (WH)</w:t>
            </w:r>
          </w:p>
        </w:tc>
        <w:tc>
          <w:tcPr>
            <w:tcW w:type="dxa" w:w="1728"/>
          </w:tcPr>
          <w:p>
            <w:r>
              <w:rPr>
                <w:rFonts w:ascii="Calibri" w:hAnsi="Calibri"/>
                <w:sz w:val="22"/>
              </w:rPr>
              <w:t>Jul 22–23, 2026</w:t>
            </w:r>
          </w:p>
        </w:tc>
        <w:tc>
          <w:tcPr>
            <w:tcW w:type="dxa" w:w="1728"/>
          </w:tcPr>
          <w:p>
            <w:r>
              <w:rPr>
                <w:rFonts w:ascii="Calibri" w:hAnsi="Calibri"/>
                <w:sz w:val="22"/>
              </w:rPr>
              <w:t>U.S. RevPAR +2%, 120bps ahead of expectations; Middle East -45% (vs. -50% feared)</w:t>
            </w:r>
          </w:p>
        </w:tc>
        <w:tc>
          <w:tcPr>
            <w:tcW w:type="dxa" w:w="1728"/>
          </w:tcPr>
          <w:p>
            <w:r>
              <w:rPr>
                <w:rFonts w:ascii="Calibri" w:hAnsi="Calibri"/>
                <w:sz w:val="22"/>
              </w:rPr>
              <w:t>U.S. demand better than feared; Middle East drag slightly less severe</w:t>
            </w:r>
          </w:p>
        </w:tc>
        <w:tc>
          <w:tcPr>
            <w:tcW w:type="dxa" w:w="1728"/>
          </w:tcPr>
          <w:p>
            <w:r>
              <w:rPr>
                <w:rFonts w:ascii="Calibri" w:hAnsi="Calibri"/>
                <w:b/>
                <w:color w:val="30A46C"/>
                <w:sz w:val="22"/>
              </w:rPr>
              <w:t>Positive</w:t>
            </w:r>
          </w:p>
        </w:tc>
      </w:tr>
      <w:tr>
        <w:tc>
          <w:tcPr>
            <w:tcW w:type="dxa" w:w="1728"/>
          </w:tcPr>
          <w:p>
            <w:r>
              <w:rPr>
                <w:rFonts w:ascii="Calibri" w:hAnsi="Calibri"/>
                <w:sz w:val="22"/>
              </w:rPr>
              <w:t>Marriott (MAR)</w:t>
            </w:r>
          </w:p>
        </w:tc>
        <w:tc>
          <w:tcPr>
            <w:tcW w:type="dxa" w:w="1728"/>
          </w:tcPr>
          <w:p>
            <w:r>
              <w:rPr>
                <w:rFonts w:ascii="Calibri" w:hAnsi="Calibri"/>
                <w:sz w:val="22"/>
              </w:rPr>
              <w:t>Jun 1, 2026</w:t>
            </w:r>
          </w:p>
        </w:tc>
        <w:tc>
          <w:tcPr>
            <w:tcW w:type="dxa" w:w="1728"/>
          </w:tcPr>
          <w:p>
            <w:r>
              <w:rPr>
                <w:rFonts w:ascii="Calibri" w:hAnsi="Calibri"/>
                <w:sz w:val="22"/>
              </w:rPr>
              <w:t>April U.S. &amp; Canada RevPAR +4%; Middle East -60% in April but improving in May; summer bookings pacing up</w:t>
            </w:r>
          </w:p>
        </w:tc>
        <w:tc>
          <w:tcPr>
            <w:tcW w:type="dxa" w:w="1728"/>
          </w:tcPr>
          <w:p>
            <w:r>
              <w:rPr>
                <w:rFonts w:ascii="Calibri" w:hAnsi="Calibri"/>
                <w:sz w:val="22"/>
              </w:rPr>
              <w:t>Strong U.S. demand; Middle East improving sequentially; group pace solid</w:t>
            </w:r>
          </w:p>
        </w:tc>
        <w:tc>
          <w:tcPr>
            <w:tcW w:type="dxa" w:w="1728"/>
          </w:tcPr>
          <w:p>
            <w:r>
              <w:rPr>
                <w:rFonts w:ascii="Calibri" w:hAnsi="Calibri"/>
                <w:b/>
                <w:color w:val="30A46C"/>
                <w:sz w:val="22"/>
              </w:rPr>
              <w:t>Positive</w:t>
            </w:r>
          </w:p>
        </w:tc>
      </w:tr>
      <w:tr>
        <w:tc>
          <w:tcPr>
            <w:tcW w:type="dxa" w:w="1728"/>
          </w:tcPr>
          <w:p>
            <w:r>
              <w:rPr>
                <w:rFonts w:ascii="Calibri" w:hAnsi="Calibri"/>
                <w:sz w:val="22"/>
              </w:rPr>
              <w:t>Hyatt (H)</w:t>
            </w:r>
          </w:p>
        </w:tc>
        <w:tc>
          <w:tcPr>
            <w:tcW w:type="dxa" w:w="1728"/>
          </w:tcPr>
          <w:p>
            <w:r>
              <w:rPr>
                <w:rFonts w:ascii="Calibri" w:hAnsi="Calibri"/>
                <w:sz w:val="22"/>
              </w:rPr>
              <w:t>Jun 2–3, 2026</w:t>
            </w:r>
          </w:p>
        </w:tc>
        <w:tc>
          <w:tcPr>
            <w:tcW w:type="dxa" w:w="1728"/>
          </w:tcPr>
          <w:p>
            <w:r>
              <w:rPr>
                <w:rFonts w:ascii="Calibri" w:hAnsi="Calibri"/>
                <w:sz w:val="22"/>
              </w:rPr>
              <w:t>Q2 tracking better than expected; ~3% RevPAR guidance — "very confident, better"; Middle East improving Apr→May</w:t>
            </w:r>
          </w:p>
        </w:tc>
        <w:tc>
          <w:tcPr>
            <w:tcW w:type="dxa" w:w="1728"/>
          </w:tcPr>
          <w:p>
            <w:r>
              <w:rPr>
                <w:rFonts w:ascii="Calibri" w:hAnsi="Calibri"/>
                <w:sz w:val="22"/>
              </w:rPr>
              <w:t>Explicit Q2 beat signal; Middle East drag less severe than feared</w:t>
            </w:r>
          </w:p>
        </w:tc>
        <w:tc>
          <w:tcPr>
            <w:tcW w:type="dxa" w:w="1728"/>
          </w:tcPr>
          <w:p>
            <w:r>
              <w:rPr>
                <w:rFonts w:ascii="Calibri" w:hAnsi="Calibri"/>
                <w:b/>
                <w:color w:val="30A46C"/>
                <w:sz w:val="22"/>
              </w:rPr>
              <w:t>Strongly Positive</w:t>
            </w:r>
          </w:p>
        </w:tc>
      </w:tr>
    </w:tbl>
    <w:p>
      <w:r>
        <w:br w:type="page"/>
      </w:r>
    </w:p>
    <w:p>
      <w:pPr>
        <w:pStyle w:val="Heading2"/>
      </w:pPr>
      <w:r>
        <w:rPr>
          <w:rFonts w:ascii="Calibri" w:hAnsi="Calibri"/>
          <w:b/>
          <w:color w:val="3B4259"/>
          <w:sz w:val="28"/>
        </w:rPr>
        <w:t>9. Key Risks &amp; Watch Items</w:t>
      </w:r>
    </w:p>
    <w:p>
      <w:r>
        <w:rPr>
          <w:rFonts w:ascii="Calibri" w:hAnsi="Calibri"/>
          <w:b/>
          <w:color w:val="525866"/>
          <w:sz w:val="22"/>
        </w:rPr>
        <w:t xml:space="preserve">Key Takeaway: </w:t>
      </w:r>
      <w:r>
        <w:rPr>
          <w:rFonts w:ascii="Calibri" w:hAnsi="Calibri"/>
          <w:color w:val="525866"/>
          <w:sz w:val="22"/>
        </w:rPr>
        <w:t>The Middle East conflict remains the dominant near-term risk, but the bigger medium-term risk is whether the C-shaped economy convergence thesis plays out as management expects — if mid-market demand disappoints, the full-year RevPAR guidance could prove too optimistic.</w:t>
      </w:r>
    </w:p>
    <w:p>
      <w:pPr>
        <w:pStyle w:val="ListBullet"/>
        <w:ind w:left="360" w:hanging="360"/>
      </w:pPr>
      <w:r>
        <w:rPr>
          <w:rFonts w:ascii="Calibri" w:hAnsi="Calibri"/>
          <w:b/>
          <w:color w:val="525866"/>
          <w:sz w:val="22"/>
        </w:rPr>
        <w:t xml:space="preserve">Middle East Conflict (High Impact, Improving): </w:t>
      </w:r>
      <w:r>
        <w:rPr>
          <w:rFonts w:ascii="Calibri" w:hAnsi="Calibri"/>
          <w:color w:val="525866"/>
          <w:sz w:val="22"/>
        </w:rPr>
        <w:t>HLT guided for ~50% RevPAR decline in the Middle East in Q2, a ~1.5pt system-wide drag. Peer data suggests the actual decline may have been slightly less severe (WH: -45%; MAR: -60% in April but improving in May). For the full year, HLT guided for 0.5–1.0pt impact. If the conflict escalates or spreads, the upper end of the full-year guidance range is at risk.</w:t>
      </w:r>
    </w:p>
    <w:p>
      <w:pPr>
        <w:pStyle w:val="ListBullet"/>
        <w:ind w:left="360" w:hanging="360"/>
      </w:pPr>
      <w:r>
        <w:rPr>
          <w:rFonts w:ascii="Calibri" w:hAnsi="Calibri"/>
          <w:b/>
          <w:color w:val="525866"/>
          <w:sz w:val="22"/>
        </w:rPr>
        <w:t xml:space="preserve">Consensus Above Guidance Midpoints (Execution Risk): </w:t>
      </w:r>
      <w:r>
        <w:rPr>
          <w:rFonts w:ascii="Calibri" w:hAnsi="Calibri"/>
          <w:color w:val="525866"/>
          <w:sz w:val="22"/>
        </w:rPr>
        <w:t>With Q2 RevPAR consensus at +3.4% vs. guidance midpoint of +2.5%, and Q2 EPS consensus at $2.28 vs. guidance midpoint of $2.21, the bar to beat is higher than the guidance range implies. A print at the midpoint of guidance would likely be viewed as a miss by the market.</w:t>
      </w:r>
    </w:p>
    <w:p>
      <w:pPr>
        <w:pStyle w:val="ListBullet"/>
        <w:ind w:left="360" w:hanging="360"/>
      </w:pPr>
      <w:r>
        <w:rPr>
          <w:rFonts w:ascii="Calibri" w:hAnsi="Calibri"/>
          <w:b/>
          <w:color w:val="525866"/>
          <w:sz w:val="22"/>
        </w:rPr>
        <w:t xml:space="preserve">Frankfurt Hotel Sanctions Exposure (Reputational Risk): </w:t>
      </w:r>
      <w:r>
        <w:rPr>
          <w:rFonts w:ascii="Calibri" w:hAnsi="Calibri"/>
          <w:color w:val="525866"/>
          <w:sz w:val="22"/>
        </w:rPr>
        <w:t>The U.S. Treasury sanction on the owner of two Frankfurt Hilton properties (July 16) is being managed through termination of management agreements. Watch for analyst questions about broader exposure to sanctioned entities or geopolitically sensitive ownership structures.</w:t>
      </w:r>
    </w:p>
    <w:p>
      <w:pPr>
        <w:pStyle w:val="ListBullet"/>
        <w:ind w:left="360" w:hanging="360"/>
      </w:pPr>
      <w:r>
        <w:rPr>
          <w:rFonts w:ascii="Calibri" w:hAnsi="Calibri"/>
          <w:b/>
          <w:color w:val="525866"/>
          <w:sz w:val="22"/>
        </w:rPr>
        <w:t xml:space="preserve">Full-Year Guidance Raise Expectations (Catalyst Risk): </w:t>
      </w:r>
      <w:r>
        <w:rPr>
          <w:rFonts w:ascii="Calibri" w:hAnsi="Calibri"/>
          <w:color w:val="525866"/>
          <w:sz w:val="22"/>
        </w:rPr>
        <w:t>The market is likely expecting a full-year guidance raise given the constructive Q2 peer data. If HLT does not raise, or raises only modestly, the stock could sell off despite a Q2 beat — similar to the Q1 reaction where the stock declined despite an EPS beat because the guidance midpoint came in below street consensus.</w:t>
      </w:r>
    </w:p>
    <w:p>
      <w:pPr>
        <w:pStyle w:val="ListBullet"/>
        <w:ind w:left="360" w:hanging="360"/>
      </w:pPr>
      <w:r>
        <w:rPr>
          <w:rFonts w:ascii="Calibri" w:hAnsi="Calibri"/>
          <w:b/>
          <w:color w:val="525866"/>
          <w:sz w:val="22"/>
        </w:rPr>
        <w:t xml:space="preserve">Net Unit Growth Upper End at Risk (Development Risk): </w:t>
      </w:r>
      <w:r>
        <w:rPr>
          <w:rFonts w:ascii="Calibri" w:hAnsi="Calibri"/>
          <w:color w:val="525866"/>
          <w:sz w:val="22"/>
        </w:rPr>
        <w:t>Management noted on the Q1 call that Middle East uncertainty could pressure the upper end of the 6–7% NUG range due to potential construction delays and slowed conversion decisions in the region. Watch for any update to the NUG guidance range.</w:t>
      </w:r>
    </w:p>
    <w:p>
      <w:pPr>
        <w:pStyle w:val="ListBullet"/>
        <w:ind w:left="360" w:hanging="360"/>
      </w:pPr>
      <w:r>
        <w:rPr>
          <w:rFonts w:ascii="Calibri" w:hAnsi="Calibri"/>
          <w:b/>
          <w:color w:val="525866"/>
          <w:sz w:val="22"/>
        </w:rPr>
        <w:t xml:space="preserve">Leadership Transition (Execution Risk): </w:t>
      </w:r>
      <w:r>
        <w:rPr>
          <w:rFonts w:ascii="Calibri" w:hAnsi="Calibri"/>
          <w:color w:val="525866"/>
          <w:sz w:val="22"/>
        </w:rPr>
        <w:t>The May 5 8-K disclosed an executive retirement and leadership reshuffle. Details are limited; watch for management commentary on the Q2 call about leadership continuity and any changes to strategic priorities.</w:t>
      </w:r>
    </w:p>
    <w:p>
      <w:pPr>
        <w:pStyle w:val="ListBullet"/>
        <w:ind w:left="360" w:hanging="360"/>
      </w:pPr>
      <w:r>
        <w:rPr>
          <w:rFonts w:ascii="Calibri" w:hAnsi="Calibri"/>
          <w:b/>
          <w:color w:val="525866"/>
          <w:sz w:val="22"/>
        </w:rPr>
        <w:t xml:space="preserve">Macro Sensitivity / Consumer Softening (Tail Risk): </w:t>
      </w:r>
      <w:r>
        <w:rPr>
          <w:rFonts w:ascii="Calibri" w:hAnsi="Calibri"/>
          <w:color w:val="525866"/>
          <w:sz w:val="22"/>
        </w:rPr>
        <w:t>While current data is constructive, HLT’s business is cyclical. Any deterioration in U.S. consumer confidence, a spike in oil prices, or a broader macro slowdown could pressure RevPAR in H2 2026. Marriott noted it is "mindful of headwinds" from higher oil prices and inflation in the back half.</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