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od-earnings-predictions--2026-07-29"/>
    <w:p>
      <w:pPr>
        <w:pStyle w:val="Heading1"/>
      </w:pPr>
      <w:r>
        <w:t xml:space="preserve">HOOD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~$1.34B vs. cons $1.29B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~$0.47 vs. cons $0.43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deposits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17.5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Prediction-market / event-contract (other transaction)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190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130M (Q2 2026); Rothera/Crypto.com scaling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OpEx+SBC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2.7</m:t>
              </m:r>
              <m:r>
                <m:rPr>
                  <m:sty m:val="p"/>
                </m:rPr>
                <m:t>–</m:t>
              </m:r>
              <m:r>
                <m:t>2.825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2.76B (FY2026), Trump Accounts build baked in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Crypto trading revenue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~$90M vs. cons $87.6M (Q2 2026), tough YoY comp vs $160M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+8.5% (FOLLOW-THROUGH)</w:t>
            </w:r>
          </w:p>
        </w:tc>
        <w:tc>
          <w:tcPr/>
          <w:p>
            <w:pPr>
              <w:pStyle w:val="Compact"/>
            </w:pPr>
            <w:r>
              <w:t xml:space="preserve">Expectations were reset (stock -21% into print), and a revenue/EPS/net-deposit beat plus the prediction-markets narrative (Rothera JV, Crypto.com talks, Bernstein/Piper flagging event-contract revenue overtaking crypto) drives upward out-period revisions that outweigh the ugly crypto comp; high beta (~2.3) amplifies continuation. Risk: crypto softness and cost step-up could cap the move, hence only modest net follow-through above the day-1 pop.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2026-07-29T01:32:12Z</dcterms:created>
  <dcterms:modified xsi:type="dcterms:W3CDTF">2026-07-29T01:32:12Z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