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HOOD before writing the preview. Let me gather recent filings, earnings, and news in parallel.Let me read the most recent quarter's release and call, plus the year-ago quarter for comparison.Let me pull the year-ago Q2 2025 release for the YoY comparison baseline.I now have what I need. Let me write the preview.</w:t>
      </w:r>
    </w:p>
    <w:bookmarkStart w:id="21" w:name="Xaecae111ef133873cbef667a73f4093f6942e76"/>
    <w:p>
      <w:pPr>
        <w:pStyle w:val="Heading1"/>
      </w:pPr>
      <w:r>
        <w:t xml:space="preserve">Robinhood Markets (HOOD) — Q2 2026 Earnings Preview</w:t>
      </w:r>
    </w:p>
    <w:bookmarkStart w:id="9" w:name="Xf140ca5183cfa082a2d99cbc70953b8fadfed98"/>
    <w:p>
      <w:pPr>
        <w:pStyle w:val="Heading3"/>
      </w:pPr>
      <w:r>
        <w:t xml:space="preserve">Report due after the close Wednesday, July 29, 2026 · FY2026 Q2 (quarter ended June 30, 2026)</w:t>
      </w:r>
    </w:p>
    <w:p>
      <w:r>
        <w:pict>
          <v:rect style="width:0;height:1.5pt" o:hralign="center" o:hrstd="t" o:hr="t"/>
        </w:pict>
      </w:r>
    </w:p>
    <w:bookmarkEnd w:id="9"/>
    <w:bookmarkStart w:id="10" w:name="the-set-up-in-one-paragraph"/>
    <w:p>
      <w:pPr>
        <w:pStyle w:val="Heading2"/>
      </w:pPr>
      <w:r>
        <w:t xml:space="preserve">The set-up in one paragraph</w:t>
      </w:r>
    </w:p>
    <w:p>
      <w:pPr>
        <w:pStyle w:val="FirstParagraph"/>
      </w:pPr>
      <w:r>
        <w:t xml:space="preserve">Robinhood heads into this print as a very different, far more diversified company than the meme-stock brokerage of a few years ago — but also as a stock that has become a battleground. Shares roughly doubled off the February 2026 lows (~$73) to peak above</w:t>
      </w:r>
      <w:r>
        <w:t xml:space="preserve"> </w:t>
      </w:r>
      <m:oMath>
        <m:r>
          <m:t>117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u</m:t>
        </m:r>
        <m:r>
          <m:t>l</m:t>
        </m:r>
        <m:r>
          <m:t>y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n</m:t>
        </m:r>
        <m:r>
          <m:t>r</m:t>
        </m:r>
        <m:r>
          <m:t>o</m:t>
        </m:r>
        <m:r>
          <m:t>l</m:t>
        </m:r>
        <m:r>
          <m:t>l</m:t>
        </m:r>
        <m:r>
          <m:t>e</m:t>
        </m:r>
        <m:r>
          <m:t>d</m:t>
        </m:r>
        <m:r>
          <m:t>o</m:t>
        </m:r>
        <m:r>
          <m:t>v</m:t>
        </m:r>
        <m:r>
          <m:t>e</m:t>
        </m:r>
        <m:r>
          <m:t>r</m:t>
        </m:r>
        <m:r>
          <m:t>h</m:t>
        </m:r>
        <m:r>
          <m:t>a</m:t>
        </m:r>
        <m:r>
          <m:t>r</m:t>
        </m:r>
        <m:r>
          <m:t>d</m:t>
        </m:r>
        <m:r>
          <m:rPr>
            <m:sty m:val="p"/>
          </m:rPr>
          <m:t>,</m:t>
        </m:r>
        <m:r>
          <m:t>c</m:t>
        </m:r>
        <m:r>
          <m:t>l</m:t>
        </m:r>
        <m:r>
          <m:t>o</m:t>
        </m:r>
        <m:r>
          <m:t>s</m:t>
        </m:r>
        <m:r>
          <m:t>i</m:t>
        </m:r>
        <m:r>
          <m:t>n</m:t>
        </m:r>
        <m:r>
          <m:t>g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92.78 on July 28**, down about</w:t>
      </w:r>
      <w:r>
        <w:t xml:space="preserve"> </w:t>
      </w:r>
      <w:r>
        <w:rPr>
          <w:b/>
          <w:bCs/>
        </w:rPr>
        <w:t xml:space="preserve">21% in the three weeks into the print</w:t>
      </w:r>
      <w:r>
        <w:t xml:space="preserve"> </w:t>
      </w:r>
      <w:r>
        <w:t xml:space="preserve">and down ~19% year-to-date. Consensus, per Barron's, is looking for roughly</w:t>
      </w:r>
      <w:r>
        <w:t xml:space="preserve"> </w:t>
      </w:r>
      <m:oMath>
        <m:r>
          <m:t>0.43</m:t>
        </m:r>
        <m:r>
          <m:t>i</m:t>
        </m:r>
        <m:r>
          <m:t>n</m:t>
        </m:r>
        <m:r>
          <m:t>E</m:t>
        </m:r>
        <m:r>
          <m:t>P</m:t>
        </m:r>
        <m:r>
          <m:t>S</m:t>
        </m:r>
        <m:r>
          <m:t>o</m:t>
        </m:r>
        <m:r>
          <m:t>n</m:t>
        </m:r>
        <m:r>
          <m:t> </m:t>
        </m:r>
      </m:oMath>
      <w:r>
        <w:rPr>
          <w:b/>
          <w:bCs/>
        </w:rPr>
        <w:t xml:space="preserve">1.29 billion of revenue</w:t>
      </w:r>
      <w:r>
        <w:t xml:space="preserve"> </w:t>
      </w:r>
      <w:r>
        <w:t xml:space="preserve">(up ~30% YoY from</w:t>
      </w:r>
      <w:r>
        <w:t xml:space="preserve"> </w:t>
      </w:r>
      <m:oMath>
        <m:r>
          <m:t>989</m:t>
        </m:r>
        <m:r>
          <m:t>M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c</m:t>
        </m:r>
        <m:r>
          <m:t>r</m:t>
        </m:r>
        <m:r>
          <m:t>y</m:t>
        </m:r>
        <m:r>
          <m:t>p</m:t>
        </m:r>
        <m:r>
          <m:t>t</m:t>
        </m:r>
        <m:r>
          <m:t>o</m:t>
        </m:r>
        <m:r>
          <m:t>t</m:t>
        </m:r>
        <m:r>
          <m:t>r</m:t>
        </m:r>
        <m:r>
          <m:t>a</m:t>
        </m:r>
        <m:r>
          <m:t>d</m:t>
        </m:r>
        <m:r>
          <m:t>i</m:t>
        </m:r>
        <m:r>
          <m:t>n</m:t>
        </m:r>
        <m:r>
          <m:t>g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f</m:t>
        </m:r>
        <m:r>
          <m:t>a</m:t>
        </m:r>
        <m:r>
          <m:t>l</m:t>
        </m:r>
        <m:r>
          <m:t>l</m:t>
        </m:r>
        <m:r>
          <m:t>t</m:t>
        </m:r>
        <m:r>
          <m:t>o</m:t>
        </m:r>
        <m:r>
          <m:t> </m:t>
        </m:r>
      </m:oMath>
      <w:r>
        <w:t xml:space="preserve">87.6M from</w:t>
      </w:r>
      <w:r>
        <w:t xml:space="preserve"> </w:t>
      </w:r>
      <m:oMath>
        <m:r>
          <m:t>160</m:t>
        </m:r>
        <m:r>
          <m:t>M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g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s</m:t>
        </m:r>
        <m:r>
          <m:t>s</m:t>
        </m:r>
        <m:r>
          <m:t>t</m:t>
        </m:r>
        <m:r>
          <m:t>e</m:t>
        </m:r>
        <m:r>
          <m:t>p</m:t>
        </m:r>
        <m:r>
          <m:t>p</m:t>
        </m:r>
        <m:r>
          <m:t>i</m:t>
        </m:r>
        <m:r>
          <m:t>n</m:t>
        </m:r>
        <m:r>
          <m:t>g</m:t>
        </m:r>
        <m:r>
          <m:t>u</m:t>
        </m:r>
        <m:r>
          <m:t>p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777M from $550M**. The debate is simple: can the new growth engines — prediction markets, equities/options, net-interest, and the fast-scaling wallet-share products — more than offset a punishing crypto comp and a rising cost base?</w:t>
      </w:r>
    </w:p>
    <w:p>
      <w:r>
        <w:pict>
          <v:rect style="width:0;height:1.5pt" o:hralign="center" o:hrstd="t" o:hr="t"/>
        </w:pict>
      </w:r>
    </w:p>
    <w:bookmarkEnd w:id="10"/>
    <w:bookmarkStart w:id="18" w:name="what-actually-matters-this-quarter"/>
    <w:p>
      <w:pPr>
        <w:pStyle w:val="Heading2"/>
      </w:pPr>
      <w:r>
        <w:t xml:space="preserve">What actually matters this quarter</w:t>
      </w:r>
    </w:p>
    <w:bookmarkStart w:id="11" w:name="X5cba7387194143f64a862e5a8a4742900bb551f"/>
    <w:p>
      <w:pPr>
        <w:pStyle w:val="Heading3"/>
      </w:pPr>
      <w:r>
        <w:t xml:space="preserve">1. Prediction markets / event contracts — the new swing factor</w:t>
      </w:r>
    </w:p>
    <w:p>
      <w:pPr>
        <w:pStyle w:val="FirstParagraph"/>
      </w:pPr>
      <w:r>
        <w:t xml:space="preserve">This is the single biggest thing to watch. In Q1 2026, event contracts traded hit a</w:t>
      </w:r>
      <w:r>
        <w:t xml:space="preserve"> </w:t>
      </w:r>
      <w:r>
        <w:rPr>
          <w:b/>
          <w:bCs/>
        </w:rPr>
        <w:t xml:space="preserve">record 8.8 billion</w:t>
      </w:r>
      <w:r>
        <w:t xml:space="preserve">, and management said April prediction-market volume was tracking to ~$3 billion (its second-best month ever). The story has since accelerated:</w:t>
      </w:r>
    </w:p>
    <w:p>
      <w:pPr>
        <w:pStyle w:val="Compact"/>
        <w:numPr>
          <w:ilvl w:val="0"/>
          <w:numId w:val="1001"/>
        </w:numPr>
      </w:pPr>
      <w:r>
        <w:t xml:space="preserve">Robinhood launched its</w:t>
      </w:r>
      <w:r>
        <w:t xml:space="preserve"> </w:t>
      </w:r>
      <w:r>
        <w:rPr>
          <w:b/>
          <w:bCs/>
        </w:rPr>
        <w:t xml:space="preserve">Rothera exchange JV with Susquehanna (SIG)</w:t>
      </w:r>
      <w:r>
        <w:t xml:space="preserve"> </w:t>
      </w:r>
      <w:r>
        <w:t xml:space="preserve">during Q2, giving it end-to-end control over product selection and pricing rather than relying purely on third-party exchanges like Kalshi.</w:t>
      </w:r>
    </w:p>
    <w:p>
      <w:pPr>
        <w:pStyle w:val="Compact"/>
        <w:numPr>
          <w:ilvl w:val="0"/>
          <w:numId w:val="1001"/>
        </w:numPr>
      </w:pPr>
      <w:r>
        <w:t xml:space="preserve">Sell-side (Bernstein, Piper Sandler) has begun arguing prediction-market revenue could</w:t>
      </w:r>
      <w:r>
        <w:t xml:space="preserve"> </w:t>
      </w:r>
      <w:r>
        <w:rPr>
          <w:b/>
          <w:bCs/>
        </w:rPr>
        <w:t xml:space="preserve">overshadow crypto revenue as soon as this quarter</w:t>
      </w:r>
      <w:r>
        <w:t xml:space="preserve"> </w:t>
      </w:r>
      <w:r>
        <w:t xml:space="preserve">— a genuine narrative shift.</w:t>
      </w:r>
    </w:p>
    <w:p>
      <w:pPr>
        <w:pStyle w:val="Compact"/>
        <w:numPr>
          <w:ilvl w:val="0"/>
          <w:numId w:val="1001"/>
        </w:numPr>
      </w:pPr>
      <w:r>
        <w:t xml:space="preserve">Just this week, reports emerged that Robinhood is in talks to add</w:t>
      </w:r>
      <w:r>
        <w:t xml:space="preserve"> </w:t>
      </w:r>
      <w:r>
        <w:rPr>
          <w:b/>
          <w:bCs/>
        </w:rPr>
        <w:t xml:space="preserve">Crypto.com's prediction contracts</w:t>
      </w:r>
      <w:r>
        <w:t xml:space="preserve"> </w:t>
      </w:r>
      <w:r>
        <w:t xml:space="preserve">to its platform, expanding beyond Kalshi (note: partner-turning-competitor dynamics here).</w:t>
      </w:r>
    </w:p>
    <w:p>
      <w:pPr>
        <w:pStyle w:val="Compact"/>
        <w:numPr>
          <w:ilvl w:val="0"/>
          <w:numId w:val="1001"/>
        </w:numPr>
      </w:pPr>
      <w:r>
        <w:t xml:space="preserve">Watch for the first clean disclosure of prediction-market/"other transaction" revenue. In Q1, "other transaction revenue" (mostly event contracts) was</w:t>
      </w:r>
      <w:r>
        <w:t xml:space="preserve"> </w:t>
      </w:r>
      <w:r>
        <w:rPr>
          <w:b/>
          <w:bCs/>
        </w:rPr>
        <w:t xml:space="preserve">$147M, up 320% YoY</w:t>
      </w:r>
      <w:r>
        <w:t xml:space="preserve"> </w:t>
      </w:r>
      <w:r>
        <w:t xml:space="preserve">— this line is now bigger than equities and approaching crypto.</w:t>
      </w:r>
    </w:p>
    <w:p>
      <w:pPr>
        <w:pStyle w:val="FirstParagraph"/>
      </w:pPr>
      <w:r>
        <w:rPr>
          <w:b/>
          <w:bCs/>
        </w:rPr>
        <w:t xml:space="preserve">Risk flag:</w:t>
      </w:r>
      <w:r>
        <w:t xml:space="preserve"> </w:t>
      </w:r>
      <w:r>
        <w:t xml:space="preserve">several states are challenging prediction markets on jurisdictional grounds (states vs. CFTC). Vlad framed it as a multi-year jurisdictional dispute, but it's a live regulatory/headline risk.</w:t>
      </w:r>
    </w:p>
    <w:bookmarkEnd w:id="11"/>
    <w:bookmarkStart w:id="12" w:name="Xd5883ece5793440f959af2cc72da18b56513680"/>
    <w:p>
      <w:pPr>
        <w:pStyle w:val="Heading3"/>
      </w:pPr>
      <w:r>
        <w:t xml:space="preserve">2. Crypto — the comp everyone knows is ugly</w:t>
      </w:r>
    </w:p>
    <w:p>
      <w:pPr>
        <w:pStyle w:val="FirstParagraph"/>
      </w:pPr>
      <w:r>
        <w:t xml:space="preserve">Year-ago Q2 2025 crypto revenue was</w:t>
      </w:r>
      <w:r>
        <w:t xml:space="preserve"> </w:t>
      </w:r>
      <m:oMath>
        <m:r>
          <m:t>160</m:t>
        </m:r>
        <m:r>
          <m:t>M</m:t>
        </m:r>
        <m:r>
          <m:rPr>
            <m:sty m:val="p"/>
          </m:rPr>
          <m:t>(</m:t>
        </m:r>
        <m:r>
          <m:t>u</m:t>
        </m:r>
        <m:r>
          <m:t>p</m:t>
        </m:r>
        <m:r>
          <m:t>98</m:t>
        </m:r>
      </m:oMath>
      <w:r>
        <w:rPr>
          <w:b/>
          <w:bCs/>
        </w:rPr>
        <w:t xml:space="preserve">134M, down 47% YoY</w:t>
      </w:r>
      <w:r>
        <w:t xml:space="preserve">, with Robinhood-app crypto notional volume down ~48%. Consensus sees crypto trading revenue near</w:t>
      </w:r>
      <w:r>
        <w:t xml:space="preserve"> </w:t>
      </w:r>
      <w:r>
        <w:rPr>
          <w:b/>
          <w:bCs/>
        </w:rPr>
        <w:t xml:space="preserve">$87.6M</w:t>
      </w:r>
      <w:r>
        <w:t xml:space="preserve">. Two mitigants to listen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Bitstamp</w:t>
      </w:r>
      <w:r>
        <w:t xml:space="preserve"> </w:t>
      </w:r>
      <w:r>
        <w:t xml:space="preserve">(institutional) has been resilient through the downturn; watch the institutional/lending contribution.</w:t>
      </w:r>
    </w:p>
    <w:p>
      <w:pPr>
        <w:pStyle w:val="Compact"/>
        <w:numPr>
          <w:ilvl w:val="0"/>
          <w:numId w:val="1002"/>
        </w:numPr>
      </w:pPr>
      <w:r>
        <w:t xml:space="preserve">Management is trying to reframe crypto around</w:t>
      </w:r>
      <w:r>
        <w:t xml:space="preserve"> </w:t>
      </w:r>
      <w:r>
        <w:rPr>
          <w:b/>
          <w:bCs/>
        </w:rPr>
        <w:t xml:space="preserve">tokenization and infrastructure</w:t>
      </w:r>
      <w:r>
        <w:t xml:space="preserve"> </w:t>
      </w:r>
      <w:r>
        <w:t xml:space="preserve">(Robinhood Chain, stock tokens, the July UK crypto event) rather than token prices. Crypto is now &lt;20% of revenue (~18% in 2025), so the diversification thesis gets its real test here.</w:t>
      </w:r>
    </w:p>
    <w:bookmarkEnd w:id="12"/>
    <w:bookmarkStart w:id="13" w:name="X671c13cb782a6e53d1bc8db76675cfe36737759"/>
    <w:p>
      <w:pPr>
        <w:pStyle w:val="Heading3"/>
      </w:pPr>
      <w:r>
        <w:t xml:space="preserve">3. Net deposits — the "North Star" KPI</w:t>
      </w:r>
    </w:p>
    <w:p>
      <w:pPr>
        <w:pStyle w:val="FirstParagraph"/>
      </w:pPr>
      <w:r>
        <w:t xml:space="preserve">Management consistently redirects attention from take rates to</w:t>
      </w:r>
      <w:r>
        <w:t xml:space="preserve"> </w:t>
      </w:r>
      <w:r>
        <w:rPr>
          <w:b/>
          <w:bCs/>
        </w:rPr>
        <w:t xml:space="preserve">net deposits</w:t>
      </w:r>
      <w:r>
        <w:t xml:space="preserve"> </w:t>
      </w:r>
      <w:r>
        <w:t xml:space="preserve">as the true measure of customer health. Q2 2025 was</w:t>
      </w:r>
      <w:r>
        <w:t xml:space="preserve"> </w:t>
      </w:r>
      <m:oMath>
        <m:r>
          <m:t>13.8</m:t>
        </m:r>
        <m:r>
          <m:t>B</m:t>
        </m:r>
        <m:r>
          <m:rPr>
            <m:sty m:val="p"/>
          </m:rPr>
          <m:t>;</m:t>
        </m:r>
        <m:r>
          <m:t>Q</m:t>
        </m:r>
        <m:r>
          <m:t>1</m:t>
        </m:r>
        <m:r>
          <m:t>2026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17.7B (22% annualized growth)**, and April 2026 was already running ~$5B month-to-date despite tax season. A strong net-deposit number (with continued mid-20s% annualized growth) would reinforce the "engaged, resilient customer" story regardless of trading mix.</w:t>
      </w:r>
    </w:p>
    <w:bookmarkEnd w:id="13"/>
    <w:bookmarkStart w:id="14" w:name="X1921c9ad510cd78f0ef64516d63c33e87586a59"/>
    <w:p>
      <w:pPr>
        <w:pStyle w:val="Heading3"/>
      </w:pPr>
      <w:r>
        <w:t xml:space="preserve">4. Net interest revenue &amp; the margin book</w:t>
      </w:r>
    </w:p>
    <w:p>
      <w:pPr>
        <w:pStyle w:val="FirstParagraph"/>
      </w:pPr>
      <w:r>
        <w:t xml:space="preserve">NII was</w:t>
      </w:r>
      <w:r>
        <w:t xml:space="preserve"> </w:t>
      </w:r>
      <w:r>
        <w:rPr>
          <w:b/>
          <w:bCs/>
        </w:rPr>
        <w:t xml:space="preserve">$359M in Q1 (+24% YoY)</w:t>
      </w:r>
      <w:r>
        <w:t xml:space="preserve">, driven by a</w:t>
      </w:r>
      <w:r>
        <w:t xml:space="preserve"> </w:t>
      </w:r>
      <w:r>
        <w:rPr>
          <w:b/>
          <w:bCs/>
        </w:rPr>
        <w:t xml:space="preserve">margin book up 93% YoY to $17.0B</w:t>
      </w:r>
      <w:r>
        <w:t xml:space="preserve">, offsetting lower short-term rates. Two nuances: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Securities lending net</w:t>
      </w:r>
      <w:r>
        <w:t xml:space="preserve"> </w:t>
      </w:r>
      <w:r>
        <w:t xml:space="preserve">has been under pressure (low volatility, few IPOs → weak special rebates). A pickup in the IPO calendar could drive a rebound; watch fully-paid sec-lending adoption (~25% of customers / ~50% of assets in Q1).</w:t>
      </w:r>
    </w:p>
    <w:p>
      <w:pPr>
        <w:pStyle w:val="Compact"/>
        <w:numPr>
          <w:ilvl w:val="0"/>
          <w:numId w:val="1003"/>
        </w:numPr>
      </w:pPr>
      <w:r>
        <w:t xml:space="preserve">Robinhood moved</w:t>
      </w:r>
      <w:r>
        <w:t xml:space="preserve"> </w:t>
      </w:r>
      <w:r>
        <w:rPr>
          <w:b/>
          <w:bCs/>
        </w:rPr>
        <w:t xml:space="preserve">~$6B of cash sweep onto the balance sheet</w:t>
      </w:r>
      <w:r>
        <w:t xml:space="preserve"> </w:t>
      </w:r>
      <w:r>
        <w:t xml:space="preserve">as free credit balances to fund margin — a structural change affecting the NII mix. With rate cuts in play, the rate backdrop is a headwind to spread income.</w:t>
      </w:r>
    </w:p>
    <w:bookmarkEnd w:id="14"/>
    <w:bookmarkStart w:id="15" w:name="X0b7bcc7a19c14db3fd38509ded19f9fa3eb6e3f"/>
    <w:p>
      <w:pPr>
        <w:pStyle w:val="Heading3"/>
      </w:pPr>
      <w:r>
        <w:t xml:space="preserve">5. Wallet-share products — proof the "super app" is compounding</w:t>
      </w:r>
    </w:p>
    <w:p>
      <w:pPr>
        <w:pStyle w:val="FirstParagraph"/>
      </w:pPr>
      <w:r>
        <w:t xml:space="preserve">These are the durability story that supports the multiple: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Gold subscribers</w:t>
      </w:r>
      <w:r>
        <w:t xml:space="preserve">: 4.3M in Q1 (+36% YoY), ~16% attach, 40% of new customers.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Gold Card</w:t>
      </w:r>
      <w:r>
        <w:t xml:space="preserve">: &gt;800K cardholders, ~$15B annualized purchase volume; on track for 1M cards / $100M ARR this year. Watch the new</w:t>
      </w:r>
      <w:r>
        <w:t xml:space="preserve"> </w:t>
      </w:r>
      <w:r>
        <w:rPr>
          <w:b/>
          <w:bCs/>
        </w:rPr>
        <w:t xml:space="preserve">Platinum Card</w:t>
      </w:r>
      <w:r>
        <w:t xml:space="preserve"> </w:t>
      </w:r>
      <w:r>
        <w:t xml:space="preserve">rollout.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Robinhood Banking</w:t>
      </w:r>
      <w:r>
        <w:t xml:space="preserve">: &gt;$2B deposits, &gt;125K funded customers,</w:t>
      </w:r>
      <w:r>
        <w:t xml:space="preserve"> </w:t>
      </w:r>
      <w:r>
        <w:rPr>
          <w:b/>
          <w:bCs/>
        </w:rPr>
        <w:t xml:space="preserve">~40% direct-deposit attach</w:t>
      </w:r>
      <w:r>
        <w:t xml:space="preserve"> </w:t>
      </w:r>
      <w:r>
        <w:t xml:space="preserve">(grew 5x in a quarter).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Retirement AUC</w:t>
      </w:r>
      <w:r>
        <w:t xml:space="preserve"> </w:t>
      </w:r>
      <w:r>
        <w:t xml:space="preserve">crossed $30B in Q2 (was</w:t>
      </w:r>
      <w:r>
        <w:t xml:space="preserve"> </w:t>
      </w:r>
      <m:oMath>
        <m:r>
          <m:t>27.4</m:t>
        </m:r>
        <m:r>
          <m:t>B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rPr>
            <m:sty m:val="p"/>
          </m:rPr>
          <m:t>+</m:t>
        </m:r>
        <m:r>
          <m:t>90</m:t>
        </m:r>
      </m:oMath>
      <w:r>
        <w:t xml:space="preserve">1.6B AUM.</w:t>
      </w:r>
    </w:p>
    <w:bookmarkEnd w:id="15"/>
    <w:bookmarkStart w:id="16" w:name="X554d4f2794855d16847913a1ed75c1971c0855f"/>
    <w:p>
      <w:pPr>
        <w:pStyle w:val="Heading3"/>
      </w:pPr>
      <w:r>
        <w:t xml:space="preserve">6. Costs, Trump Accounts, and the June layoffs</w:t>
      </w:r>
    </w:p>
    <w:p>
      <w:pPr>
        <w:pStyle w:val="FirstParagraph"/>
      </w:pPr>
      <w:r>
        <w:t xml:space="preserve">This is where the EPS bar gets tricky:</w:t>
      </w:r>
    </w:p>
    <w:p>
      <w:pPr>
        <w:pStyle w:val="Compact"/>
        <w:numPr>
          <w:ilvl w:val="0"/>
          <w:numId w:val="1005"/>
        </w:numPr>
      </w:pPr>
      <w:r>
        <w:t xml:space="preserve">FY26 adjusted OpEx+SBC guidance was</w:t>
      </w:r>
      <w:r>
        <w:t xml:space="preserve"> </w:t>
      </w:r>
      <w:r>
        <w:rPr>
          <w:b/>
          <w:bCs/>
        </w:rPr>
        <w:t xml:space="preserve">raised to $2.7–2.825B</w:t>
      </w:r>
      <w:r>
        <w:t xml:space="preserve"> </w:t>
      </w:r>
      <w:r>
        <w:t xml:space="preserve">(from</w:t>
      </w:r>
      <w:r>
        <w:t xml:space="preserve"> </w:t>
      </w:r>
      <m:oMath>
        <m:r>
          <m:t>2.6</m:t>
        </m:r>
        <m:r>
          <m:rPr>
            <m:sty m:val="p"/>
          </m:rPr>
          <m:t>–</m:t>
        </m:r>
        <m:r>
          <m:t>2.725</m:t>
        </m:r>
        <m:r>
          <m:t>B</m:t>
        </m:r>
        <m:r>
          <m:rPr>
            <m:sty m:val="p"/>
          </m:rPr>
          <m:t>)</m:t>
        </m:r>
        <m:r>
          <m:t>t</m:t>
        </m:r>
        <m:r>
          <m:t>o</m:t>
        </m:r>
        <m:r>
          <m:t>f</m:t>
        </m:r>
        <m:r>
          <m:t>u</m:t>
        </m:r>
        <m:r>
          <m:t>n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100M Trump Accounts build, ~half of it in Q2**. Consensus opex ~$777M reflects this step-up.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Trump Accounts</w:t>
      </w:r>
      <w:r>
        <w:t xml:space="preserve"> </w:t>
      </w:r>
      <w:r>
        <w:t xml:space="preserve">(Robinhood as sole initial broker/trustee, 5.5M+ kids signed up, 60M eligible) is contracted</w:t>
      </w:r>
      <w:r>
        <w:t xml:space="preserve"> </w:t>
      </w:r>
      <w:r>
        <w:rPr>
          <w:b/>
          <w:bCs/>
        </w:rPr>
        <w:t xml:space="preserve">cost-plus with a small margin</w:t>
      </w:r>
      <w:r>
        <w:t xml:space="preserve"> </w:t>
      </w:r>
      <w:r>
        <w:t xml:space="preserve">— modestly revenue-positive, strategically a top-of-funnel play for the next generation. Watch for a launch update.</w:t>
      </w:r>
    </w:p>
    <w:p>
      <w:pPr>
        <w:pStyle w:val="Compact"/>
        <w:numPr>
          <w:ilvl w:val="0"/>
          <w:numId w:val="1005"/>
        </w:numPr>
      </w:pPr>
      <w:r>
        <w:t xml:space="preserve">In</w:t>
      </w:r>
      <w:r>
        <w:t xml:space="preserve"> </w:t>
      </w:r>
      <w:r>
        <w:rPr>
          <w:b/>
          <w:bCs/>
        </w:rPr>
        <w:t xml:space="preserve">June, Robinhood announced ~10% workforce cuts</w:t>
      </w:r>
      <w:r>
        <w:t xml:space="preserve"> </w:t>
      </w:r>
      <w:r>
        <w:t xml:space="preserve">(from ~2,900 employees) — watch for any restructuring charges and commentary on the AI-driven efficiency narrative (90%+ of staff using AI tools; commits/engineer up 50%).</w:t>
      </w:r>
    </w:p>
    <w:p>
      <w:pPr>
        <w:pStyle w:val="Compact"/>
        <w:numPr>
          <w:ilvl w:val="0"/>
          <w:numId w:val="1005"/>
        </w:numPr>
      </w:pPr>
      <w:r>
        <w:t xml:space="preserve">There's also a</w:t>
      </w:r>
      <w:r>
        <w:t xml:space="preserve"> </w:t>
      </w:r>
      <w:r>
        <w:rPr>
          <w:b/>
          <w:bCs/>
        </w:rPr>
        <w:t xml:space="preserve">CFO transition</w:t>
      </w:r>
      <w:r>
        <w:t xml:space="preserve"> </w:t>
      </w:r>
      <w:r>
        <w:t xml:space="preserve">(Shiv Verma now CFO; SBC modification charges have been carved out of adjusted figures).</w:t>
      </w:r>
    </w:p>
    <w:bookmarkEnd w:id="16"/>
    <w:bookmarkStart w:id="17" w:name="X7c03f9737b64975400d0ea764152b3fd6f3609f"/>
    <w:p>
      <w:pPr>
        <w:pStyle w:val="Heading3"/>
      </w:pPr>
      <w:r>
        <w:t xml:space="preserve">7. Capital return &amp; insider selling</w:t>
      </w:r>
    </w:p>
    <w:p>
      <w:pPr>
        <w:pStyle w:val="Compact"/>
        <w:numPr>
          <w:ilvl w:val="0"/>
          <w:numId w:val="1006"/>
        </w:numPr>
      </w:pPr>
      <w:r>
        <w:t xml:space="preserve">Buybacks: **</w:t>
      </w:r>
      <m:oMath>
        <m:r>
          <m:t>250</m:t>
        </m:r>
        <m:r>
          <m:t>M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 </m:t>
        </m:r>
        <m:r>
          <m:t>3.1</m:t>
        </m:r>
        <m:r>
          <m:t>M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a</m:t>
        </m:r>
        <m:r>
          <m:t>t</m:t>
        </m:r>
        <m:r>
          <m:t> </m:t>
        </m:r>
      </m:oMath>
      <w:r>
        <w:t xml:space="preserve">81);</w:t>
      </w:r>
      <w:r>
        <w:t xml:space="preserve"> </w:t>
      </w:r>
      <w:r>
        <w:rPr>
          <w:b/>
          <w:bCs/>
        </w:rPr>
        <w:t xml:space="preserve">$1.5B authorization</w:t>
      </w:r>
      <w:r>
        <w:t xml:space="preserve"> </w:t>
      </w:r>
      <w:r>
        <w:t xml:space="preserve">refreshed in March, targeted over ~3 years. Management emphasizes "the denominator matters" — flat-ish share count is part of the EPS story.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Insider selling has been notable in July</w:t>
      </w:r>
      <w:r>
        <w:t xml:space="preserve"> </w:t>
      </w:r>
      <w:r>
        <w:t xml:space="preserve">— filings from the Tenev 2017 Irrevocable Trust (~</w:t>
      </w:r>
      <m:oMath>
        <m:r>
          <m:t>37</m:t>
        </m:r>
        <m:r>
          <m:t>M</m:t>
        </m:r>
        <m:r>
          <m:t>i</m:t>
        </m:r>
        <m:r>
          <m:t>n</m:t>
        </m:r>
        <m:r>
          <m:t>t</m:t>
        </m:r>
        <m:r>
          <m:t>e</m:t>
        </m:r>
        <m:r>
          <m:t>n</m:t>
        </m:r>
        <m:r>
          <m:t>d</m:t>
        </m:r>
        <m:r>
          <m:t>e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B</m:t>
        </m:r>
        <m:r>
          <m:t>a</m:t>
        </m:r>
        <m:r>
          <m:t>i</m:t>
        </m:r>
        <m:r>
          <m:t>j</m:t>
        </m:r>
        <m:r>
          <m:t>u</m:t>
        </m:r>
        <m:r>
          <m:t>B</m:t>
        </m:r>
        <m:r>
          <m:t>h</m:t>
        </m:r>
        <m:r>
          <m:t>a</m:t>
        </m:r>
        <m:r>
          <m:t>t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t</m:t>
        </m:r>
        <m:r>
          <m:t>r</m:t>
        </m:r>
        <m:r>
          <m:t>u</m:t>
        </m:r>
        <m:r>
          <m:t>s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5M), plus steady programmatic Robinhood Ventures Fund sales. Worth monitoring as a sentiment factor near the highs.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X0c269c823e40e95ec2c170755d1ae4dac12acfc"/>
    <w:p>
      <w:pPr>
        <w:pStyle w:val="Heading2"/>
      </w:pPr>
      <w:r>
        <w:t xml:space="preserve">Consensus scorecard (what to measure against)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 (a)</w:t>
            </w:r>
          </w:p>
        </w:tc>
        <w:tc>
          <w:tcPr/>
          <w:p>
            <w:pPr>
              <w:pStyle w:val="Compact"/>
            </w:pPr>
            <w:r>
              <w:t xml:space="preserve">Q1 2026 (a)</w:t>
            </w:r>
          </w:p>
        </w:tc>
        <w:tc>
          <w:tcPr/>
          <w:p>
            <w:pPr>
              <w:pStyle w:val="Compact"/>
            </w:pPr>
            <w:r>
              <w:t xml:space="preserve">Q2 2026 (est.)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$989M</w:t>
            </w:r>
          </w:p>
        </w:tc>
        <w:tc>
          <w:tcPr/>
          <w:p>
            <w:pPr>
              <w:pStyle w:val="Compact"/>
            </w:pPr>
            <w:r>
              <w:t xml:space="preserve">$1,067M</w:t>
            </w:r>
          </w:p>
        </w:tc>
        <w:tc>
          <w:tcPr/>
          <w:p>
            <w:pPr>
              <w:pStyle w:val="Compact"/>
            </w:pPr>
            <w:r>
              <w:t xml:space="preserve">~$1.29B (+~30% YoY)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$0.42</w:t>
            </w:r>
          </w:p>
        </w:tc>
        <w:tc>
          <w:tcPr/>
          <w:p>
            <w:pPr>
              <w:pStyle w:val="Compact"/>
            </w:pPr>
            <w:r>
              <w:t xml:space="preserve">$0.38</w:t>
            </w:r>
          </w:p>
        </w:tc>
        <w:tc>
          <w:tcPr/>
          <w:p>
            <w:pPr>
              <w:pStyle w:val="Compact"/>
            </w:pPr>
            <w:r>
              <w:t xml:space="preserve">~$0.43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Crypto trading rev</w:t>
            </w:r>
          </w:p>
        </w:tc>
        <w:tc>
          <w:tcPr/>
          <w:p>
            <w:pPr>
              <w:pStyle w:val="Compact"/>
            </w:pPr>
            <w:r>
              <w:t xml:space="preserve">$160M</w:t>
            </w:r>
          </w:p>
        </w:tc>
        <w:tc>
          <w:tcPr/>
          <w:p>
            <w:pPr>
              <w:pStyle w:val="Compact"/>
            </w:pPr>
            <w:r>
              <w:t xml:space="preserve">$134M</w:t>
            </w:r>
          </w:p>
        </w:tc>
        <w:tc>
          <w:tcPr/>
          <w:p>
            <w:pPr>
              <w:pStyle w:val="Compact"/>
            </w:pPr>
            <w:r>
              <w:t xml:space="preserve">~$87.6M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t xml:space="preserve">$550M</w:t>
            </w:r>
          </w:p>
        </w:tc>
        <w:tc>
          <w:tcPr/>
          <w:p>
            <w:pPr>
              <w:pStyle w:val="Compact"/>
            </w:pPr>
            <w:r>
              <w:t xml:space="preserve">$656M</w:t>
            </w:r>
          </w:p>
        </w:tc>
        <w:tc>
          <w:tcPr/>
          <w:p>
            <w:pPr>
              <w:pStyle w:val="Compact"/>
            </w:pPr>
            <w:r>
              <w:t xml:space="preserve">~$777M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deposits</w:t>
            </w:r>
          </w:p>
        </w:tc>
        <w:tc>
          <w:tcPr/>
          <w:p>
            <w:pPr>
              <w:pStyle w:val="Compact"/>
            </w:pPr>
            <w:r>
              <w:t xml:space="preserve">$13.8B</w:t>
            </w:r>
          </w:p>
        </w:tc>
        <w:tc>
          <w:tcPr/>
          <w:p>
            <w:pPr>
              <w:pStyle w:val="Compact"/>
            </w:pPr>
            <w:r>
              <w:t xml:space="preserve">$17.7B</w:t>
            </w:r>
          </w:p>
        </w:tc>
        <w:tc>
          <w:tcPr/>
          <w:p>
            <w:pPr>
              <w:pStyle w:val="Compact"/>
            </w:pPr>
            <w:r>
              <w:t xml:space="preserve">watch for ~$15B+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Gold subscribers</w:t>
            </w:r>
          </w:p>
        </w:tc>
        <w:tc>
          <w:tcPr/>
          <w:p>
            <w:pPr>
              <w:pStyle w:val="Compact"/>
            </w:pPr>
            <w:r>
              <w:t xml:space="preserve">3.5M</w:t>
            </w:r>
          </w:p>
        </w:tc>
        <w:tc>
          <w:tcPr/>
          <w:p>
            <w:pPr>
              <w:pStyle w:val="Compact"/>
            </w:pPr>
            <w:r>
              <w:t xml:space="preserve">4.3M</w:t>
            </w:r>
          </w:p>
        </w:tc>
        <w:tc>
          <w:tcPr/>
          <w:p>
            <w:pPr>
              <w:pStyle w:val="Compact"/>
            </w:pPr>
            <w:r>
              <w:t xml:space="preserve">watch for continued growth</w:t>
            </w:r>
          </w:p>
        </w:tc>
      </w:tr>
    </w:tbl>
    <w:p>
      <w:pPr>
        <w:pStyle w:val="BodyText"/>
      </w:pPr>
      <w:r>
        <w:rPr>
          <w:i/>
          <w:iCs/>
        </w:rPr>
        <w:t xml:space="preserve">(Q2 2026 figures are Street estimates per Barron's, not company guidance; Robinhood does not guide revenue.)</w:t>
      </w:r>
    </w:p>
    <w:p>
      <w:r>
        <w:pict>
          <v:rect style="width:0;height:1.5pt" o:hralign="center" o:hrstd="t" o:hr="t"/>
        </w:pict>
      </w:r>
    </w:p>
    <w:bookmarkEnd w:id="19"/>
    <w:bookmarkStart w:id="20" w:name="how-id-frame-the-reaction"/>
    <w:p>
      <w:pPr>
        <w:pStyle w:val="Heading2"/>
      </w:pPr>
      <w:r>
        <w:t xml:space="preserve">How I'd frame the reaction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Bull case for a pop:</w:t>
      </w:r>
      <w:r>
        <w:t xml:space="preserve"> </w:t>
      </w:r>
      <w:r>
        <w:t xml:space="preserve">Prediction-market revenue surprises to the upside and visibly begins to "overshadow crypto"; net deposits stay in the mid-$teens billions; Gold/banking/card metrics keep compounding; and management holds the line on costs despite the Trump Accounts build. Given the stock's ~21% pullback into the print, expectations have been partly reset.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Bear case for a drop:</w:t>
      </w:r>
      <w:r>
        <w:t xml:space="preserve"> </w:t>
      </w:r>
      <w:r>
        <w:t xml:space="preserve">The crypto comp bites harder than modeled, sec-lending/NII disappoints on soft rebates and rate cuts, the opex step-up compresses margins (adjusted EBITDA margin was already 50% in Q1 vs. 56% a year ago), and prediction-market economics prove lower-take than hoped. Elevated insider selling and stretched valuation amplify downside sensitivity.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tell:</w:t>
      </w:r>
      <w:r>
        <w:t xml:space="preserve"> </w:t>
      </w:r>
      <w:r>
        <w:t xml:space="preserve">With HOOD, the</w:t>
      </w:r>
      <w:r>
        <w:t xml:space="preserve"> </w:t>
      </w:r>
      <w:r>
        <w:rPr>
          <w:b/>
          <w:bCs/>
        </w:rPr>
        <w:t xml:space="preserve">mix and forward commentary matter more than the headline EPS</w:t>
      </w:r>
      <w:r>
        <w:t xml:space="preserve">. Focus on (1) the prediction-markets revenue disclosure and Rothera/Crypto.com commentary, (2) July quarter-to-date net deposits and trading trends (management always previews the next quarter's start), and (3) any change to the FY26 expense outlook.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Note: All actual (a) figures are from Robinhood's Q1 2026 and Q2 2025 earnings releases; Q2 2026 estimates and the layoff/Crypto.com/insider details are from recent press (Barron's, WSJ) and SEC filings. Estimates are the market's expectations, not company guidance.</w:t>
      </w:r>
    </w:p>
    <w:p>
      <w:pPr>
        <w:pStyle w:val="BodyText"/>
      </w:pPr>
      <w:r>
        <w:t xml:space="preserve">Want me to go deeper on any single vector — e.g., build a prediction-markets revenue sensitivity model, or pull the actual Q2 2026 numbers into this framework once they hit tomorrow?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2026-07-29T01:32:12Z</dcterms:created>
  <dcterms:modified xsi:type="dcterms:W3CDTF">2026-07-29T01:32:12Z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