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hood-earnings-predictions--2026-07-29"/>
    <w:p>
      <w:pPr>
        <w:pStyle w:val="Heading1"/>
      </w:pPr>
      <w:r>
        <w:t xml:space="preserve">HOOD Earnings Predictions — 2026-07-29</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HOOD</w:t>
            </w:r>
          </w:p>
        </w:tc>
        <w:tc>
          <w:tcPr/>
          <w:p>
            <w:pPr>
              <w:pStyle w:val="Compact"/>
            </w:pPr>
            <w:r>
              <w:t xml:space="preserve">Report</w:t>
            </w:r>
          </w:p>
        </w:tc>
        <w:tc>
          <w:tcPr/>
          <w:p>
            <w:pPr>
              <w:pStyle w:val="Compact"/>
            </w:pPr>
            <w:r>
              <w:t xml:space="preserve">Total Net Revenue (Q2 2026)</w:t>
            </w:r>
          </w:p>
        </w:tc>
        <w:tc>
          <w:tcPr/>
          <w:p>
            <w:pPr>
              <w:pStyle w:val="Compact"/>
            </w:pPr>
            <w:r>
              <w:t xml:space="preserve">BEAT</w:t>
            </w:r>
          </w:p>
        </w:tc>
        <w:tc>
          <w:tcPr/>
          <w:p>
            <w:pPr>
              <w:pStyle w:val="Compact"/>
            </w:pPr>
            <w:r>
              <w:t xml:space="preserve">pred ~$1.34B vs. cons $1.29B</w:t>
            </w:r>
          </w:p>
        </w:tc>
        <w:tc>
          <w:tcPr/>
          <w:p>
            <w:pPr>
              <w:pStyle w:val="Compact"/>
            </w:pPr>
            <w:r>
              <w:t xml:space="preserve">MEDIUM</w:t>
            </w:r>
          </w:p>
        </w:tc>
      </w:tr>
      <w:tr>
        <w:tc>
          <w:tcPr/>
          <w:p>
            <w:pPr>
              <w:pStyle w:val="Compact"/>
            </w:pPr>
            <w:r>
              <w:t xml:space="preserve">HOOD</w:t>
            </w:r>
          </w:p>
        </w:tc>
        <w:tc>
          <w:tcPr/>
          <w:p>
            <w:pPr>
              <w:pStyle w:val="Compact"/>
            </w:pPr>
            <w:r>
              <w:t xml:space="preserve">Report</w:t>
            </w:r>
          </w:p>
        </w:tc>
        <w:tc>
          <w:tcPr/>
          <w:p>
            <w:pPr>
              <w:pStyle w:val="Compact"/>
            </w:pPr>
            <w:r>
              <w:t xml:space="preserve">Diluted EPS (Q2 2026)</w:t>
            </w:r>
          </w:p>
        </w:tc>
        <w:tc>
          <w:tcPr/>
          <w:p>
            <w:pPr>
              <w:pStyle w:val="Compact"/>
            </w:pPr>
            <w:r>
              <w:t xml:space="preserve">BEAT</w:t>
            </w:r>
          </w:p>
        </w:tc>
        <w:tc>
          <w:tcPr/>
          <w:p>
            <w:pPr>
              <w:pStyle w:val="Compact"/>
            </w:pPr>
            <w:r>
              <w:t xml:space="preserve">pred ~$0.47 vs. cons $0.43</w:t>
            </w:r>
          </w:p>
        </w:tc>
        <w:tc>
          <w:tcPr/>
          <w:p>
            <w:pPr>
              <w:pStyle w:val="Compact"/>
            </w:pPr>
            <w:r>
              <w:t xml:space="preserve">MEDIUM</w:t>
            </w:r>
          </w:p>
        </w:tc>
      </w:tr>
      <w:tr>
        <w:tc>
          <w:tcPr/>
          <w:p>
            <w:pPr>
              <w:pStyle w:val="Compact"/>
            </w:pPr>
            <w:r>
              <w:t xml:space="preserve">HOOD</w:t>
            </w:r>
          </w:p>
        </w:tc>
        <w:tc>
          <w:tcPr/>
          <w:p>
            <w:pPr>
              <w:pStyle w:val="Compact"/>
            </w:pPr>
            <w:r>
              <w:t xml:space="preserve">Report</w:t>
            </w:r>
          </w:p>
        </w:tc>
        <w:tc>
          <w:tcPr/>
          <w:p>
            <w:pPr>
              <w:pStyle w:val="Compact"/>
            </w:pPr>
            <w:r>
              <w:t xml:space="preserve">Crypto Transaction Revenue (Q2 2026)</w:t>
            </w:r>
          </w:p>
        </w:tc>
        <w:tc>
          <w:tcPr/>
          <w:p>
            <w:pPr>
              <w:pStyle w:val="Compact"/>
            </w:pPr>
            <w:r>
              <w:t xml:space="preserve">BEAT</w:t>
            </w:r>
          </w:p>
        </w:tc>
        <w:tc>
          <w:tcPr/>
          <w:p>
            <w:pPr>
              <w:pStyle w:val="Compact"/>
            </w:pPr>
            <w:r>
              <w:t xml:space="preserve">pred ~$115M vs. cons $87.6M</w:t>
            </w:r>
          </w:p>
        </w:tc>
        <w:tc>
          <w:tcPr/>
          <w:p>
            <w:pPr>
              <w:pStyle w:val="Compact"/>
            </w:pPr>
            <w:r>
              <w:t xml:space="preserve">LOW</w:t>
            </w:r>
          </w:p>
        </w:tc>
      </w:tr>
      <w:tr>
        <w:tc>
          <w:tcPr/>
          <w:p>
            <w:pPr>
              <w:pStyle w:val="Compact"/>
            </w:pPr>
            <w:r>
              <w:t xml:space="preserve">HOOD</w:t>
            </w:r>
          </w:p>
        </w:tc>
        <w:tc>
          <w:tcPr/>
          <w:p>
            <w:pPr>
              <w:pStyle w:val="Compact"/>
            </w:pPr>
            <w:r>
              <w:t xml:space="preserve">Guide</w:t>
            </w:r>
          </w:p>
        </w:tc>
        <w:tc>
          <w:tcPr/>
          <w:p>
            <w:pPr>
              <w:pStyle w:val="Compact"/>
            </w:pPr>
            <w:r>
              <w:t xml:space="preserve">FY2026 Adjusted OpEx &amp; SBC Guidance</w:t>
            </w:r>
          </w:p>
        </w:tc>
        <w:tc>
          <w:tcPr/>
          <w:p>
            <w:pPr>
              <w:pStyle w:val="Compact"/>
            </w:pPr>
            <w:r>
              <w:t xml:space="preserve">UNCHANGED</w:t>
            </w:r>
          </w:p>
        </w:tc>
        <w:tc>
          <w:tcPr/>
          <w:p>
            <w:pPr>
              <w:pStyle w:val="Compact"/>
            </w:pPr>
            <w:r>
              <w:t xml:space="preserve">guide ~$2.76B vs. cons $2.7625B midpoint (FY2026, prior range</w:t>
            </w:r>
            <w:r>
              <w:t xml:space="preserve"> </w:t>
            </w:r>
            <m:oMath>
              <m:r>
                <m:t>2.7</m:t>
              </m:r>
              <m:r>
                <m:t>B</m:t>
              </m:r>
              <m:r>
                <m:rPr>
                  <m:sty m:val="p"/>
                </m:rPr>
                <m:t>−</m:t>
              </m:r>
            </m:oMath>
            <w:r>
              <w:t xml:space="preserve">2.825B reiterated)</w:t>
            </w:r>
          </w:p>
        </w:tc>
        <w:tc>
          <w:tcPr/>
          <w:p>
            <w:pPr>
              <w:pStyle w:val="Compact"/>
            </w:pPr>
            <w:r>
              <w:t xml:space="preserve">MEDIUM</w:t>
            </w:r>
          </w:p>
        </w:tc>
      </w:tr>
      <w:tr>
        <w:tc>
          <w:tcPr/>
          <w:p>
            <w:pPr>
              <w:pStyle w:val="Compact"/>
            </w:pPr>
            <w:r>
              <w:t xml:space="preserve">HOOD</w:t>
            </w:r>
          </w:p>
        </w:tc>
        <w:tc>
          <w:tcPr/>
          <w:p>
            <w:pPr>
              <w:pStyle w:val="Compact"/>
            </w:pPr>
            <w:r>
              <w:t xml:space="preserve">Guide</w:t>
            </w:r>
          </w:p>
        </w:tc>
        <w:tc>
          <w:tcPr/>
          <w:p>
            <w:pPr>
              <w:pStyle w:val="Compact"/>
            </w:pPr>
            <w:r>
              <w:t xml:space="preserve">Net Deposits Annualized Growth Rate</w:t>
            </w:r>
          </w:p>
        </w:tc>
        <w:tc>
          <w:tcPr/>
          <w:p>
            <w:pPr>
              <w:pStyle w:val="Compact"/>
            </w:pPr>
            <w:r>
              <w:t xml:space="preserve">BETTER</w:t>
            </w:r>
          </w:p>
        </w:tc>
        <w:tc>
          <w:tcPr/>
          <w:p>
            <w:pPr>
              <w:pStyle w:val="Compact"/>
            </w:pPr>
            <w:r>
              <w:t xml:space="preserve">guide/commentary ~22% vs. cons ~18% (Q3 2026 implied trajectory)</w:t>
            </w:r>
          </w:p>
        </w:tc>
        <w:tc>
          <w:tcPr/>
          <w:p>
            <w:pPr>
              <w:pStyle w:val="Compact"/>
            </w:pPr>
            <w:r>
              <w:t xml:space="preserve">LOW</w:t>
            </w:r>
          </w:p>
        </w:tc>
      </w:tr>
      <w:tr>
        <w:tc>
          <w:tcPr/>
          <w:p>
            <w:pPr>
              <w:pStyle w:val="Compact"/>
            </w:pPr>
            <w:r>
              <w:t xml:space="preserve">HOOD</w:t>
            </w:r>
          </w:p>
        </w:tc>
        <w:tc>
          <w:tcPr/>
          <w:p>
            <w:pPr>
              <w:pStyle w:val="Compact"/>
            </w:pPr>
            <w:r>
              <w:t xml:space="preserve">Guide</w:t>
            </w:r>
          </w:p>
        </w:tc>
        <w:tc>
          <w:tcPr/>
          <w:p>
            <w:pPr>
              <w:pStyle w:val="Compact"/>
            </w:pPr>
            <w:r>
              <w:t xml:space="preserve">Prediction Markets Monthly Volume Run-Rate</w:t>
            </w:r>
          </w:p>
        </w:tc>
        <w:tc>
          <w:tcPr/>
          <w:p>
            <w:pPr>
              <w:pStyle w:val="Compact"/>
            </w:pPr>
            <w:r>
              <w:t xml:space="preserve">BETTER</w:t>
            </w:r>
          </w:p>
        </w:tc>
        <w:tc>
          <w:tcPr/>
          <w:p>
            <w:pPr>
              <w:pStyle w:val="Compact"/>
            </w:pPr>
            <w:r>
              <w:t xml:space="preserve">guide/commentary ~</w:t>
            </w:r>
            <m:oMath>
              <m:r>
                <m:t>5</m:t>
              </m:r>
              <m:r>
                <m:t>B</m:t>
              </m:r>
              <m:r>
                <m:rPr>
                  <m:sty m:val="p"/>
                </m:rPr>
                <m:t>/</m:t>
              </m:r>
              <m:r>
                <m:t>m</m:t>
              </m:r>
              <m:r>
                <m:t>o</m:t>
              </m:r>
              <m:r>
                <m:t>n</m:t>
              </m:r>
              <m:r>
                <m:t>t</m:t>
              </m:r>
              <m:r>
                <m:t>h</m:t>
              </m:r>
              <m:r>
                <m:t>v</m:t>
              </m:r>
              <m:r>
                <m:t>s</m:t>
              </m:r>
              <m:r>
                <m:rPr>
                  <m:sty m:val="p"/>
                </m:rPr>
                <m:t>.</m:t>
              </m:r>
              <m:r>
                <m:t>c</m:t>
              </m:r>
              <m:r>
                <m:t>o</m:t>
              </m:r>
              <m:r>
                <m:t>n</m:t>
              </m:r>
              <m:r>
                <m:t>s</m:t>
              </m:r>
              <m:r>
                <m:t> </m:t>
              </m:r>
            </m:oMath>
            <w:r>
              <w:t xml:space="preserve">3B/month (Q3 2026, vs. ~$3B April/record run-rate cited pre-print)</w:t>
            </w:r>
          </w:p>
        </w:tc>
        <w:tc>
          <w:tcPr/>
          <w:p>
            <w:pPr>
              <w:pStyle w:val="Compact"/>
            </w:pPr>
            <w:r>
              <w:t xml:space="preserve">MEDIUM</w:t>
            </w:r>
          </w:p>
        </w:tc>
      </w:tr>
      <w:tr>
        <w:tc>
          <w:tcPr/>
          <w:p>
            <w:pPr>
              <w:pStyle w:val="Compact"/>
            </w:pPr>
            <w:r>
              <w:t xml:space="preserve">HOOD</w:t>
            </w:r>
          </w:p>
        </w:tc>
        <w:tc>
          <w:tcPr/>
          <w:p>
            <w:pPr>
              <w:pStyle w:val="Compact"/>
            </w:pPr>
            <w:r>
              <w:t xml:space="preserve">Return</w:t>
            </w:r>
          </w:p>
        </w:tc>
        <w:tc>
          <w:tcPr/>
          <w:p>
            <w:pPr>
              <w:pStyle w:val="Compact"/>
            </w:pPr>
            <w:r>
              <w:t xml:space="preserve">Day-1 residual (stock − beta × S&amp;P 500)</w:t>
            </w:r>
          </w:p>
        </w:tc>
        <w:tc>
          <w:tcPr/>
          <w:p>
            <w:pPr>
              <w:pStyle w:val="Compact"/>
            </w:pPr>
            <w:r>
              <w:t xml:space="preserve">+7.0%</w:t>
            </w:r>
          </w:p>
        </w:tc>
        <w:tc>
          <w:tcPr/>
          <w:p>
            <w:pPr>
              <w:pStyle w:val="Compact"/>
            </w:pPr>
            <w:r>
              <w:t xml:space="preserve">—</w:t>
            </w:r>
          </w:p>
        </w:tc>
        <w:tc>
          <w:tcPr/>
          <w:p>
            <w:pPr>
              <w:pStyle w:val="Compact"/>
            </w:pPr>
            <w:r>
              <w:t xml:space="preserve">MEDIUM</w:t>
            </w:r>
          </w:p>
        </w:tc>
      </w:tr>
      <w:tr>
        <w:tc>
          <w:tcPr/>
          <w:p>
            <w:pPr>
              <w:pStyle w:val="Compact"/>
            </w:pPr>
            <w:r>
              <w:t xml:space="preserve">HOOD</w:t>
            </w:r>
          </w:p>
        </w:tc>
        <w:tc>
          <w:tcPr/>
          <w:p>
            <w:pPr>
              <w:pStyle w:val="Compact"/>
            </w:pPr>
            <w:r>
              <w:t xml:space="preserve">Return</w:t>
            </w:r>
          </w:p>
        </w:tc>
        <w:tc>
          <w:tcPr/>
          <w:p>
            <w:pPr>
              <w:pStyle w:val="Compact"/>
            </w:pPr>
            <w:r>
              <w:t xml:space="preserve">5-day cumulative residual</w:t>
            </w:r>
          </w:p>
        </w:tc>
        <w:tc>
          <w:tcPr/>
          <w:p>
            <w:pPr>
              <w:pStyle w:val="Compact"/>
            </w:pPr>
            <w:r>
              <w:t xml:space="preserve">+9.5% (FOLLOW-THROUGH)</w:t>
            </w:r>
          </w:p>
        </w:tc>
        <w:tc>
          <w:tcPr/>
          <w:p>
            <w:pPr>
              <w:pStyle w:val="Compact"/>
            </w:pPr>
            <w:r>
              <w:t xml:space="preserve">Stock had already de-rated ~23% off July highs into the print on crypto-selloff fears and high-beta de-risking, resetting the bar low. If revenue/EPS beat and crypto reverses the Q1 miss pattern (aided by the stronger risk-on tape through May-July embedded in Q2 results) while prediction-markets/event-contract volumes keep scaling (Bernstein/Piper narrative, Crypto.com JV talks), sell-side is likely to raise out-period estimates (2026/2027 revenue and EBITDA) rather than trim them, since the incremental growth driver (prediction markets) is structurally additive and OpEx guidance is being reiterated rather than cut, implying no negative revisions to offset the beat. This supports follow-through over the 5-day window rather than a fade, though continued Trump Accounts investment and elevated valuation cap the magnitude and leave some risk of profit-taking mid-week.</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2026-07-29T01:33:33Z</dcterms:created>
  <dcterms:modified xsi:type="dcterms:W3CDTF">2026-07-29T01:33:33Z</dcterms:modified>
</cp:coreProperties>
</file>

<file path=docProps/custom.xml><?xml version="1.0" encoding="utf-8"?>
<Properties xmlns="http://schemas.openxmlformats.org/officeDocument/2006/custom-properties" xmlns:vt="http://schemas.openxmlformats.org/officeDocument/2006/docPropsVTypes"/>
</file>