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ood-earnings-predictions--2026-07-29"/>
    <w:p>
      <w:pPr>
        <w:pStyle w:val="Heading1"/>
      </w:pPr>
      <w:r>
        <w:t xml:space="preserve">HOOD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HOOD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total 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~$1.33B vs. cons $1.29B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HOOD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~$0.49 vs. cons $0.43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HOOD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net deposits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~$18.5B vs. cons $17.0B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HOOD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 expenses plus SBC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~$2.76B vs. cons $2.76B (FY2026 midpoint)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HOOD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deposit annualized growth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~21% vs. cons 20% (Q3 2026 run-rate)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HOOD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+6.5%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HOOD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+4.0% (FADE)</w:t>
            </w:r>
          </w:p>
        </w:tc>
        <w:tc>
          <w:tcPr/>
          <w:p>
            <w:pPr>
              <w:pStyle w:val="Compact"/>
            </w:pPr>
            <w:r>
              <w:t xml:space="preserve">The revenue, EPS and deposit beats should drive initial upside, but unchanged FY2026 expense guidance and limited visibility into sustainable prediction-market monetization likely constrain out-period estimate revisions, causing part of the day-1 gain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2026-07-29T01:34:08Z</dcterms:created>
  <dcterms:modified xsi:type="dcterms:W3CDTF">2026-07-29T01:34:08Z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