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2" w:name="hood-q2-2026-earnings-preview"/>
    <w:p>
      <w:pPr>
        <w:pStyle w:val="Heading1"/>
      </w:pPr>
      <w:r>
        <w:t xml:space="preserve">HOOD Q2 2026 Earnings Preview</w:t>
      </w:r>
    </w:p>
    <w:p>
      <w:pPr>
        <w:pStyle w:val="BlockText"/>
      </w:pPr>
      <w:r>
        <w:rPr>
          <w:b/>
          <w:bCs/>
        </w:rPr>
        <w:t xml:space="preserve">Timing clarification:</w:t>
      </w:r>
      <w:r>
        <w:t xml:space="preserve"> </w:t>
      </w:r>
      <w:r>
        <w:t xml:space="preserve">Robinhood is scheduled to report</w:t>
      </w:r>
      <w:r>
        <w:t xml:space="preserve"> </w:t>
      </w:r>
      <w:r>
        <w:rPr>
          <w:b/>
          <w:bCs/>
        </w:rPr>
        <w:t xml:space="preserve">today, Wednesday, July 29, 2026</w:t>
      </w:r>
      <w:r>
        <w:t xml:space="preserve">, after the market closes—not tomorrow. The earnings call begins at</w:t>
      </w:r>
      <w:r>
        <w:t xml:space="preserve"> </w:t>
      </w:r>
      <w:r>
        <w:rPr>
          <w:b/>
          <w:bCs/>
        </w:rPr>
        <w:t xml:space="preserve">5:00 p.m. ET</w:t>
      </w:r>
      <w:r>
        <w:t xml:space="preserve">.</w:t>
      </w:r>
    </w:p>
    <w:bookmarkStart w:id="9" w:name="executive-view"/>
    <w:p>
      <w:pPr>
        <w:pStyle w:val="Heading2"/>
      </w:pPr>
      <w:r>
        <w:t xml:space="preserve">Executive view</w:t>
      </w:r>
    </w:p>
    <w:p>
      <w:pPr>
        <w:pStyle w:val="FirstParagraph"/>
      </w:pPr>
      <w:r>
        <w:t xml:space="preserve">Robinhood enters Q2 earnings with a more diversified business than it had during prior crypto downturns. The central question is no longer simply whether cryptocurrency activity weakened—it almost certainly did—but whether</w:t>
      </w:r>
      <w:r>
        <w:t xml:space="preserve"> </w:t>
      </w:r>
      <w:r>
        <w:rPr>
          <w:b/>
          <w:bCs/>
        </w:rPr>
        <w:t xml:space="preserve">prediction markets, equities, options, net interest income, and subscription products can more than compensate</w:t>
      </w:r>
      <w:r>
        <w:t xml:space="preserve">.</w:t>
      </w:r>
    </w:p>
    <w:p>
      <w:pPr>
        <w:pStyle w:val="BodyText"/>
      </w:pPr>
      <w:r>
        <w:t xml:space="preserve">Wall Street expects approximately:</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t xml:space="preserve">Metric</w:t>
            </w:r>
          </w:p>
        </w:tc>
        <w:tc>
          <w:tcPr/>
          <w:p>
            <w:pPr>
              <w:pStyle w:val="Compact"/>
              <w:jc w:val="right"/>
            </w:pPr>
            <w:r>
              <w:t xml:space="preserve">Q2 2026 consensus</w:t>
            </w:r>
          </w:p>
        </w:tc>
        <w:tc>
          <w:tcPr/>
          <w:p>
            <w:pPr>
              <w:pStyle w:val="Compact"/>
              <w:jc w:val="right"/>
            </w:pPr>
            <w:r>
              <w:t xml:space="preserve">Q2 2025</w:t>
            </w:r>
          </w:p>
        </w:tc>
        <w:tc>
          <w:tcPr/>
          <w:p>
            <w:pPr>
              <w:pStyle w:val="Compact"/>
              <w:jc w:val="right"/>
            </w:pPr>
            <w:r>
              <w:t xml:space="preserve">Implied growth</w:t>
            </w:r>
          </w:p>
        </w:tc>
      </w:tr>
      <w:tr>
        <w:tc>
          <w:tcPr/>
          <w:p>
            <w:pPr>
              <w:pStyle w:val="Compact"/>
            </w:pPr>
            <w:r>
              <w:t xml:space="preserve">Revenue</w:t>
            </w:r>
          </w:p>
        </w:tc>
        <w:tc>
          <w:tcPr/>
          <w:p>
            <w:pPr>
              <w:pStyle w:val="Compact"/>
              <w:jc w:val="right"/>
            </w:pPr>
            <w:r>
              <w:rPr>
                <w:b/>
                <w:bCs/>
              </w:rPr>
              <w:t xml:space="preserve">$1.29B</w:t>
            </w:r>
          </w:p>
        </w:tc>
        <w:tc>
          <w:tcPr/>
          <w:p>
            <w:pPr>
              <w:pStyle w:val="Compact"/>
              <w:jc w:val="right"/>
            </w:pPr>
            <w:r>
              <w:t xml:space="preserve">$989M</w:t>
            </w:r>
          </w:p>
        </w:tc>
        <w:tc>
          <w:tcPr/>
          <w:p>
            <w:pPr>
              <w:pStyle w:val="Compact"/>
              <w:jc w:val="right"/>
            </w:pPr>
            <w:r>
              <w:rPr>
                <w:b/>
                <w:bCs/>
              </w:rPr>
              <w:t xml:space="preserve">+30%</w:t>
            </w:r>
          </w:p>
        </w:tc>
      </w:tr>
      <w:tr>
        <w:tc>
          <w:tcPr/>
          <w:p>
            <w:pPr>
              <w:pStyle w:val="Compact"/>
            </w:pPr>
            <w:r>
              <w:t xml:space="preserve">Diluted EPS</w:t>
            </w:r>
          </w:p>
        </w:tc>
        <w:tc>
          <w:tcPr/>
          <w:p>
            <w:pPr>
              <w:pStyle w:val="Compact"/>
              <w:jc w:val="right"/>
            </w:pPr>
            <w:r>
              <w:rPr>
                <w:b/>
                <w:bCs/>
              </w:rPr>
              <w:t xml:space="preserve">$0.43</w:t>
            </w:r>
          </w:p>
        </w:tc>
        <w:tc>
          <w:tcPr/>
          <w:p>
            <w:pPr>
              <w:pStyle w:val="Compact"/>
              <w:jc w:val="right"/>
            </w:pPr>
            <w:r>
              <w:t xml:space="preserve">$0.42</w:t>
            </w:r>
          </w:p>
        </w:tc>
        <w:tc>
          <w:tcPr/>
          <w:p>
            <w:pPr>
              <w:pStyle w:val="Compact"/>
              <w:jc w:val="right"/>
            </w:pPr>
            <w:r>
              <w:rPr>
                <w:b/>
                <w:bCs/>
              </w:rPr>
              <w:t xml:space="preserve">+2%</w:t>
            </w:r>
          </w:p>
        </w:tc>
      </w:tr>
      <w:tr>
        <w:tc>
          <w:tcPr/>
          <w:p>
            <w:pPr>
              <w:pStyle w:val="Compact"/>
            </w:pPr>
            <w:r>
              <w:t xml:space="preserve">Crypto transaction revenue</w:t>
            </w:r>
          </w:p>
        </w:tc>
        <w:tc>
          <w:tcPr/>
          <w:p>
            <w:pPr>
              <w:pStyle w:val="Compact"/>
              <w:jc w:val="right"/>
            </w:pPr>
            <w:r>
              <w:rPr>
                <w:b/>
                <w:bCs/>
              </w:rPr>
              <w:t xml:space="preserve">$87.6M</w:t>
            </w:r>
          </w:p>
        </w:tc>
        <w:tc>
          <w:tcPr/>
          <w:p>
            <w:pPr>
              <w:pStyle w:val="Compact"/>
              <w:jc w:val="right"/>
            </w:pPr>
            <w:r>
              <w:t xml:space="preserve">$160M</w:t>
            </w:r>
          </w:p>
        </w:tc>
        <w:tc>
          <w:tcPr/>
          <w:p>
            <w:pPr>
              <w:pStyle w:val="Compact"/>
              <w:jc w:val="right"/>
            </w:pPr>
            <w:r>
              <w:rPr>
                <w:b/>
                <w:bCs/>
              </w:rPr>
              <w:t xml:space="preserve">-45%</w:t>
            </w:r>
          </w:p>
        </w:tc>
      </w:tr>
      <w:tr>
        <w:tc>
          <w:tcPr/>
          <w:p>
            <w:pPr>
              <w:pStyle w:val="Compact"/>
            </w:pPr>
            <w:r>
              <w:t xml:space="preserve">GAAP operating expenses</w:t>
            </w:r>
          </w:p>
        </w:tc>
        <w:tc>
          <w:tcPr/>
          <w:p>
            <w:pPr>
              <w:pStyle w:val="Compact"/>
              <w:jc w:val="right"/>
            </w:pPr>
            <w:r>
              <w:rPr>
                <w:b/>
                <w:bCs/>
              </w:rPr>
              <w:t xml:space="preserve">$777M</w:t>
            </w:r>
          </w:p>
        </w:tc>
        <w:tc>
          <w:tcPr/>
          <w:p>
            <w:pPr>
              <w:pStyle w:val="Compact"/>
              <w:jc w:val="right"/>
            </w:pPr>
            <w:r>
              <w:t xml:space="preserve">$550M</w:t>
            </w:r>
          </w:p>
        </w:tc>
        <w:tc>
          <w:tcPr/>
          <w:p>
            <w:pPr>
              <w:pStyle w:val="Compact"/>
              <w:jc w:val="right"/>
            </w:pPr>
            <w:r>
              <w:rPr>
                <w:b/>
                <w:bCs/>
              </w:rPr>
              <w:t xml:space="preserve">+41%</w:t>
            </w:r>
          </w:p>
        </w:tc>
      </w:tr>
    </w:tbl>
    <w:p>
      <w:pPr>
        <w:pStyle w:val="BodyText"/>
      </w:pPr>
      <w:r>
        <w:t xml:space="preserve">The apparent disconnect—roughly 30% revenue growth but almost flat EPS—puts</w:t>
      </w:r>
      <w:r>
        <w:t xml:space="preserve"> </w:t>
      </w:r>
      <w:r>
        <w:rPr>
          <w:b/>
          <w:bCs/>
        </w:rPr>
        <w:t xml:space="preserve">costs and revenue quality</w:t>
      </w:r>
      <w:r>
        <w:t xml:space="preserve"> </w:t>
      </w:r>
      <w:r>
        <w:t xml:space="preserve">at the center of the report. A modest headline beat may not be enough if it comes with weaker deposits, rising credit losses, lower take rates, or little visibility into post-restructuring expenses.</w:t>
      </w:r>
    </w:p>
    <w:bookmarkEnd w:id="9"/>
    <w:bookmarkStart w:id="11" w:name="X69307a2d18fdb8573b4ce43a0d717cb8116278b"/>
    <w:p>
      <w:pPr>
        <w:pStyle w:val="Heading2"/>
      </w:pPr>
      <w:r>
        <w:t xml:space="preserve">The most important issue: diversification away from crypto</w:t>
      </w:r>
    </w:p>
    <w:p>
      <w:pPr>
        <w:pStyle w:val="FirstParagraph"/>
      </w:pPr>
      <w:r>
        <w:t xml:space="preserve">Q1 provided a preview of the changing revenue mix:</w:t>
      </w:r>
    </w:p>
    <w:p>
      <w:pPr>
        <w:pStyle w:val="Compact"/>
        <w:numPr>
          <w:ilvl w:val="0"/>
          <w:numId w:val="1001"/>
        </w:numPr>
      </w:pPr>
      <w:r>
        <w:t xml:space="preserve">Total revenue was $1.07 billion, up 15%.</w:t>
      </w:r>
    </w:p>
    <w:p>
      <w:pPr>
        <w:pStyle w:val="Compact"/>
        <w:numPr>
          <w:ilvl w:val="0"/>
          <w:numId w:val="1001"/>
        </w:numPr>
      </w:pPr>
      <w:r>
        <w:t xml:space="preserve">Crypto revenue fell 47% year over year to $134 million.</w:t>
      </w:r>
    </w:p>
    <w:p>
      <w:pPr>
        <w:pStyle w:val="Compact"/>
        <w:numPr>
          <w:ilvl w:val="0"/>
          <w:numId w:val="1001"/>
        </w:numPr>
      </w:pPr>
      <w:r>
        <w:t xml:space="preserve">“Other” transaction revenue rose 320% to $147 million, primarily from event contracts.</w:t>
      </w:r>
    </w:p>
    <w:p>
      <w:pPr>
        <w:pStyle w:val="Compact"/>
        <w:numPr>
          <w:ilvl w:val="0"/>
          <w:numId w:val="1001"/>
        </w:numPr>
      </w:pPr>
      <w:r>
        <w:t xml:space="preserve">Equities revenue increased 46%.</w:t>
      </w:r>
    </w:p>
    <w:p>
      <w:pPr>
        <w:pStyle w:val="Compact"/>
        <w:numPr>
          <w:ilvl w:val="0"/>
          <w:numId w:val="1001"/>
        </w:numPr>
      </w:pPr>
      <w:r>
        <w:t xml:space="preserve">Options revenue increased 8%.</w:t>
      </w:r>
    </w:p>
    <w:p>
      <w:pPr>
        <w:pStyle w:val="Compact"/>
        <w:numPr>
          <w:ilvl w:val="0"/>
          <w:numId w:val="1001"/>
        </w:numPr>
      </w:pPr>
      <w:r>
        <w:t xml:space="preserve">Net interest revenue increased 24%.</w:t>
      </w:r>
    </w:p>
    <w:p>
      <w:pPr>
        <w:pStyle w:val="FirstParagraph"/>
      </w:pPr>
      <w:r>
        <w:t xml:space="preserve">For Q2, consensus calls for crypto revenue to fall again—to about</w:t>
      </w:r>
      <w:r>
        <w:t xml:space="preserve"> </w:t>
      </w:r>
      <w:r>
        <w:rPr>
          <w:b/>
          <w:bCs/>
        </w:rPr>
        <w:t xml:space="preserve">$88 million</w:t>
      </w:r>
      <w:r>
        <w:t xml:space="preserve">, down approximately 35% sequentially as well as 45% year over year.</w:t>
      </w:r>
    </w:p>
    <w:p>
      <w:pPr>
        <w:pStyle w:val="BodyText"/>
      </w:pPr>
      <w:r>
        <w:t xml:space="preserve">That decline is widely anticipated. The more consequential question is whether it is being replaced by durable revenue streams or by another highly cyclical trading category.</w:t>
      </w:r>
    </w:p>
    <w:bookmarkStart w:id="10" w:name="what-would-constitute-a-good-result"/>
    <w:p>
      <w:pPr>
        <w:pStyle w:val="Heading3"/>
      </w:pPr>
      <w:r>
        <w:t xml:space="preserve">What would constitute a good result?</w:t>
      </w:r>
    </w:p>
    <w:p>
      <w:pPr>
        <w:pStyle w:val="FirstParagraph"/>
      </w:pPr>
      <w:r>
        <w:t xml:space="preserve">A high-quality quarter would show:</w:t>
      </w:r>
    </w:p>
    <w:p>
      <w:pPr>
        <w:pStyle w:val="Compact"/>
        <w:numPr>
          <w:ilvl w:val="0"/>
          <w:numId w:val="1002"/>
        </w:numPr>
      </w:pPr>
      <w:r>
        <w:t xml:space="preserve">Strong equities and options activity, consistent with management’s comments that April trading was unusually healthy.</w:t>
      </w:r>
    </w:p>
    <w:p>
      <w:pPr>
        <w:pStyle w:val="Compact"/>
        <w:numPr>
          <w:ilvl w:val="0"/>
          <w:numId w:val="1002"/>
        </w:numPr>
      </w:pPr>
      <w:r>
        <w:t xml:space="preserve">Continued rapid prediction-market growth without materially deteriorating economics.</w:t>
      </w:r>
    </w:p>
    <w:p>
      <w:pPr>
        <w:pStyle w:val="Compact"/>
        <w:numPr>
          <w:ilvl w:val="0"/>
          <w:numId w:val="1002"/>
        </w:numPr>
      </w:pPr>
      <w:r>
        <w:t xml:space="preserve">Growth in net interest revenue supported by deposits and margin balances rather than simply favorable balance-sheet positioning.</w:t>
      </w:r>
    </w:p>
    <w:p>
      <w:pPr>
        <w:pStyle w:val="Compact"/>
        <w:numPr>
          <w:ilvl w:val="0"/>
          <w:numId w:val="1002"/>
        </w:numPr>
      </w:pPr>
      <w:r>
        <w:t xml:space="preserve">Higher Gold and card adoption, demonstrating that Robinhood is becoming a broader financial platform.</w:t>
      </w:r>
    </w:p>
    <w:p>
      <w:pPr>
        <w:pStyle w:val="Compact"/>
        <w:numPr>
          <w:ilvl w:val="0"/>
          <w:numId w:val="1002"/>
        </w:numPr>
      </w:pPr>
      <w:r>
        <w:t xml:space="preserve">Net deposits remaining near or above a 20% annualized growth rate.</w:t>
      </w:r>
    </w:p>
    <w:p>
      <w:pPr>
        <w:pStyle w:val="FirstParagraph"/>
      </w:pPr>
      <w:r>
        <w:t xml:space="preserve">If prediction-market revenue exceeds crypto revenue, as some analysts expect, Q2 could mark an important symbolic transition. It would demonstrate Robinhood’s ability to identify and monetize a new retail category before competitors. It would also create a new concentration risk, particularly given the unsettled regulatory treatment of event contracts.</w:t>
      </w:r>
    </w:p>
    <w:bookmarkEnd w:id="10"/>
    <w:bookmarkEnd w:id="11"/>
    <w:bookmarkStart w:id="12" w:name="Xb6437ef202bb215bbfbaa64c456c7f155e478f7"/>
    <w:p>
      <w:pPr>
        <w:pStyle w:val="Heading2"/>
      </w:pPr>
      <w:r>
        <w:t xml:space="preserve">Prediction markets may determine the reaction</w:t>
      </w:r>
    </w:p>
    <w:p>
      <w:pPr>
        <w:pStyle w:val="FirstParagraph"/>
      </w:pPr>
      <w:r>
        <w:t xml:space="preserve">Prediction markets were already Robinhood’s fastest-growing transaction category in Q1, when customers traded a record</w:t>
      </w:r>
      <w:r>
        <w:t xml:space="preserve"> </w:t>
      </w:r>
      <w:r>
        <w:rPr>
          <w:b/>
          <w:bCs/>
        </w:rPr>
        <w:t xml:space="preserve">8.8 billion event contracts</w:t>
      </w:r>
      <w:r>
        <w:t xml:space="preserve">. Management said April was tracking near $3 billion of event-contract volume and would likely be its second-best month at that point.</w:t>
      </w:r>
    </w:p>
    <w:p>
      <w:pPr>
        <w:pStyle w:val="BodyText"/>
      </w:pPr>
      <w:r>
        <w:t xml:space="preserve">The World Cup and a broader menu of contracts likely provided additional Q2 activity. The earnings release should reveal whether this translated into another major step-up in “other transaction revenue.”</w:t>
      </w:r>
    </w:p>
    <w:p>
      <w:pPr>
        <w:pStyle w:val="BodyText"/>
      </w:pPr>
      <w:r>
        <w:t xml:space="preserve">Investors should focus on more than volume:</w:t>
      </w:r>
    </w:p>
    <w:p>
      <w:pPr>
        <w:pStyle w:val="Compact"/>
        <w:numPr>
          <w:ilvl w:val="0"/>
          <w:numId w:val="1003"/>
        </w:numPr>
      </w:pPr>
      <w:r>
        <w:rPr>
          <w:b/>
          <w:bCs/>
        </w:rPr>
        <w:t xml:space="preserve">Revenue per contract:</w:t>
      </w:r>
      <w:r>
        <w:t xml:space="preserve"> </w:t>
      </w:r>
      <w:r>
        <w:t xml:space="preserve">Does volume growth translate efficiently into revenue?</w:t>
      </w:r>
    </w:p>
    <w:p>
      <w:pPr>
        <w:pStyle w:val="Compact"/>
        <w:numPr>
          <w:ilvl w:val="0"/>
          <w:numId w:val="1003"/>
        </w:numPr>
      </w:pPr>
      <w:r>
        <w:rPr>
          <w:b/>
          <w:bCs/>
        </w:rPr>
        <w:t xml:space="preserve">Customer overlap:</w:t>
      </w:r>
      <w:r>
        <w:t xml:space="preserve"> </w:t>
      </w:r>
      <w:r>
        <w:t xml:space="preserve">Are prediction-market users new customers or existing traders shifting activity from other categories?</w:t>
      </w:r>
    </w:p>
    <w:p>
      <w:pPr>
        <w:pStyle w:val="Compact"/>
        <w:numPr>
          <w:ilvl w:val="0"/>
          <w:numId w:val="1003"/>
        </w:numPr>
      </w:pPr>
      <w:r>
        <w:rPr>
          <w:b/>
          <w:bCs/>
        </w:rPr>
        <w:t xml:space="preserve">Rothera:</w:t>
      </w:r>
      <w:r>
        <w:t xml:space="preserve"> </w:t>
      </w:r>
      <w:r>
        <w:t xml:space="preserve">Robinhood previously expected to launch its prediction-market joint venture with Susquehanna during Q2. Investors will want an update on timing, economics, regulatory approvals, and vertical-integration benefits.</w:t>
      </w:r>
    </w:p>
    <w:p>
      <w:pPr>
        <w:pStyle w:val="Compact"/>
        <w:numPr>
          <w:ilvl w:val="0"/>
          <w:numId w:val="1003"/>
        </w:numPr>
      </w:pPr>
      <w:r>
        <w:rPr>
          <w:b/>
          <w:bCs/>
        </w:rPr>
        <w:t xml:space="preserve">Exchange relationships:</w:t>
      </w:r>
      <w:r>
        <w:t xml:space="preserve"> </w:t>
      </w:r>
      <w:r>
        <w:t xml:space="preserve">Robinhood is reportedly discussing adding Crypto.com contracts alongside existing providers. A multi-exchange model could improve product breadth and resilience.</w:t>
      </w:r>
    </w:p>
    <w:p>
      <w:pPr>
        <w:pStyle w:val="Compact"/>
        <w:numPr>
          <w:ilvl w:val="0"/>
          <w:numId w:val="1003"/>
        </w:numPr>
      </w:pPr>
      <w:r>
        <w:rPr>
          <w:b/>
          <w:bCs/>
        </w:rPr>
        <w:t xml:space="preserve">Regulation:</w:t>
      </w:r>
      <w:r>
        <w:t xml:space="preserve"> </w:t>
      </w:r>
      <w:r>
        <w:t xml:space="preserve">State-level challenges and the broader jurisdictional dispute over sports-related event contracts remain material risks.</w:t>
      </w:r>
    </w:p>
    <w:p>
      <w:pPr>
        <w:pStyle w:val="FirstParagraph"/>
      </w:pPr>
      <w:r>
        <w:t xml:space="preserve">A strong prediction-market result accompanied by increased regulatory confidence would be bullish. Strong revenue without greater regulatory visibility may receive a more cautious valuation.</w:t>
      </w:r>
    </w:p>
    <w:bookmarkEnd w:id="12"/>
    <w:bookmarkStart w:id="14" w:name="X0182b6da41dff22eec652a17107dad61a3c19fd"/>
    <w:p>
      <w:pPr>
        <w:pStyle w:val="Heading2"/>
      </w:pPr>
      <w:r>
        <w:t xml:space="preserve">Net deposits remain the best measure of franchise health</w:t>
      </w:r>
    </w:p>
    <w:p>
      <w:pPr>
        <w:pStyle w:val="FirstParagraph"/>
      </w:pPr>
      <w:r>
        <w:t xml:space="preserve">Management calls net deposits its “North Star” metric. That is appropriate because trading revenue can move sharply with markets, while deposits indicate whether customers are consolidating assets at Robinhood.</w:t>
      </w:r>
    </w:p>
    <w:p>
      <w:pPr>
        <w:pStyle w:val="BodyText"/>
      </w:pPr>
      <w:r>
        <w:t xml:space="preserve">Q1 net deposits were</w:t>
      </w:r>
      <w:r>
        <w:t xml:space="preserve"> </w:t>
      </w:r>
      <w:r>
        <w:rPr>
          <w:b/>
          <w:bCs/>
        </w:rPr>
        <w:t xml:space="preserve">$17.7 billion</w:t>
      </w:r>
      <w:r>
        <w:t xml:space="preserve">, equal to a 22% annualized growth rate. Management also said April deposits were approximately $5 billion despite tax-season withdrawals.</w:t>
      </w:r>
    </w:p>
    <w:p>
      <w:pPr>
        <w:pStyle w:val="BodyText"/>
      </w:pPr>
      <w:r>
        <w:t xml:space="preserve">For context, Q2 2025 net deposits were $13.8 billion.</w:t>
      </w:r>
    </w:p>
    <w:bookmarkStart w:id="13" w:name="key-thresholds"/>
    <w:p>
      <w:pPr>
        <w:pStyle w:val="Heading3"/>
      </w:pPr>
      <w:r>
        <w:t xml:space="preserve">Key thresholds</w:t>
      </w:r>
    </w:p>
    <w:p>
      <w:pPr>
        <w:pStyle w:val="Compact"/>
        <w:numPr>
          <w:ilvl w:val="0"/>
          <w:numId w:val="1004"/>
        </w:numPr>
      </w:pPr>
      <w:r>
        <w:rPr>
          <w:b/>
          <w:bCs/>
        </w:rPr>
        <w:t xml:space="preserve">Bullish:</w:t>
      </w:r>
      <w:r>
        <w:t xml:space="preserve"> </w:t>
      </w:r>
      <w:r>
        <w:t xml:space="preserve">At least</w:t>
      </w:r>
      <w:r>
        <w:t xml:space="preserve"> </w:t>
      </w:r>
      <m:oMath>
        <m:r>
          <m:t>17</m:t>
        </m:r>
        <m:r>
          <m:t>b</m:t>
        </m:r>
        <m:r>
          <m:t>i</m:t>
        </m:r>
        <m:r>
          <m:t>l</m:t>
        </m:r>
        <m:r>
          <m:t>l</m:t>
        </m:r>
        <m:r>
          <m:t>i</m:t>
        </m:r>
        <m:r>
          <m:t>o</m:t>
        </m:r>
        <m:r>
          <m:t>n</m:t>
        </m:r>
        <m:r>
          <m:rPr>
            <m:sty m:val="p"/>
          </m:rPr>
          <m:t>–</m:t>
        </m:r>
      </m:oMath>
      <w:r>
        <w:t xml:space="preserve">18 billion of net deposits, preserving annualized growth above 20%.</w:t>
      </w:r>
    </w:p>
    <w:p>
      <w:pPr>
        <w:pStyle w:val="Compact"/>
        <w:numPr>
          <w:ilvl w:val="0"/>
          <w:numId w:val="1004"/>
        </w:numPr>
      </w:pPr>
      <w:r>
        <w:rPr>
          <w:b/>
          <w:bCs/>
        </w:rPr>
        <w:t xml:space="preserve">Acceptable:</w:t>
      </w:r>
      <w:r>
        <w:t xml:space="preserve"> </w:t>
      </w:r>
      <w:r>
        <w:t xml:space="preserve">Mid-teens deposits, particularly if accompanied by strong retirement, advisory, and banking growth.</w:t>
      </w:r>
    </w:p>
    <w:p>
      <w:pPr>
        <w:pStyle w:val="Compact"/>
        <w:numPr>
          <w:ilvl w:val="0"/>
          <w:numId w:val="1004"/>
        </w:numPr>
      </w:pPr>
      <w:r>
        <w:rPr>
          <w:b/>
          <w:bCs/>
        </w:rPr>
        <w:t xml:space="preserve">Concerning:</w:t>
      </w:r>
      <w:r>
        <w:t xml:space="preserve"> </w:t>
      </w:r>
      <w:r>
        <w:t xml:space="preserve">A drop toward or below the prior-year level, especially if revenue still beats because of short-term trading activity.</w:t>
      </w:r>
    </w:p>
    <w:p>
      <w:pPr>
        <w:pStyle w:val="FirstParagraph"/>
      </w:pPr>
      <w:r>
        <w:t xml:space="preserve">Investors should also examine:</w:t>
      </w:r>
    </w:p>
    <w:p>
      <w:pPr>
        <w:pStyle w:val="Compact"/>
        <w:numPr>
          <w:ilvl w:val="0"/>
          <w:numId w:val="1005"/>
        </w:numPr>
      </w:pPr>
      <w:r>
        <w:t xml:space="preserve">Total platform assets, which stood at $307 billion after Q1.</w:t>
      </w:r>
    </w:p>
    <w:p>
      <w:pPr>
        <w:pStyle w:val="Compact"/>
        <w:numPr>
          <w:ilvl w:val="0"/>
          <w:numId w:val="1005"/>
        </w:numPr>
      </w:pPr>
      <w:r>
        <w:t xml:space="preserve">Retirement assets, which had passed $30 billion in April.</w:t>
      </w:r>
    </w:p>
    <w:p>
      <w:pPr>
        <w:pStyle w:val="Compact"/>
        <w:numPr>
          <w:ilvl w:val="0"/>
          <w:numId w:val="1005"/>
        </w:numPr>
      </w:pPr>
      <w:r>
        <w:t xml:space="preserve">Margin balances, which were $17 billion at the end of Q1, up 93% year over year.</w:t>
      </w:r>
    </w:p>
    <w:p>
      <w:pPr>
        <w:pStyle w:val="Compact"/>
        <w:numPr>
          <w:ilvl w:val="0"/>
          <w:numId w:val="1005"/>
        </w:numPr>
      </w:pPr>
      <w:r>
        <w:t xml:space="preserve">Cash and deposit balances following Robinhood’s decision to move more customer cash onto its balance sheet.</w:t>
      </w:r>
    </w:p>
    <w:p>
      <w:pPr>
        <w:pStyle w:val="Compact"/>
        <w:numPr>
          <w:ilvl w:val="0"/>
          <w:numId w:val="1005"/>
        </w:numPr>
      </w:pPr>
      <w:r>
        <w:t xml:space="preserve">Funded-customer growth, including whether acquisition-related additions are obscuring underlying organic trends.</w:t>
      </w:r>
    </w:p>
    <w:bookmarkEnd w:id="13"/>
    <w:bookmarkEnd w:id="14"/>
    <w:bookmarkStart w:id="17" w:name="X9074aa84ab2bf5764f4ff44edfb38fd98f6b137"/>
    <w:p>
      <w:pPr>
        <w:pStyle w:val="Heading2"/>
      </w:pPr>
      <w:r>
        <w:t xml:space="preserve">Wallet-share products need to show continued adoption</w:t>
      </w:r>
    </w:p>
    <w:p>
      <w:pPr>
        <w:pStyle w:val="FirstParagraph"/>
      </w:pPr>
      <w:r>
        <w:t xml:space="preserve">Robinhood’s longer-term thesis depends on turning a trading account into a primary financial relationship. Q2 should provide updates across several products.</w:t>
      </w:r>
    </w:p>
    <w:bookmarkStart w:id="15" w:name="robinhood-gold"/>
    <w:p>
      <w:pPr>
        <w:pStyle w:val="Heading3"/>
      </w:pPr>
      <w:r>
        <w:t xml:space="preserve">Robinhood Gold</w:t>
      </w:r>
    </w:p>
    <w:p>
      <w:pPr>
        <w:pStyle w:val="FirstParagraph"/>
      </w:pPr>
      <w:r>
        <w:t xml:space="preserve">Gold subscribers reached</w:t>
      </w:r>
      <w:r>
        <w:t xml:space="preserve"> </w:t>
      </w:r>
      <w:r>
        <w:rPr>
          <w:b/>
          <w:bCs/>
        </w:rPr>
        <w:t xml:space="preserve">4.3 million</w:t>
      </w:r>
      <w:r>
        <w:t xml:space="preserve"> </w:t>
      </w:r>
      <w:r>
        <w:t xml:space="preserve">in Q1, up 36% year over year, and 40% of new customers were adopting Gold. That new-customer attach rate is particularly important because Gold connects customers to cash yield, margin, credit cards, banking, and premium product features.</w:t>
      </w:r>
    </w:p>
    <w:p>
      <w:pPr>
        <w:pStyle w:val="BodyText"/>
      </w:pPr>
      <w:r>
        <w:t xml:space="preserve">The market should want to see:</w:t>
      </w:r>
    </w:p>
    <w:p>
      <w:pPr>
        <w:pStyle w:val="Compact"/>
        <w:numPr>
          <w:ilvl w:val="0"/>
          <w:numId w:val="1006"/>
        </w:numPr>
      </w:pPr>
      <w:r>
        <w:t xml:space="preserve">Continued subscriber growth.</w:t>
      </w:r>
    </w:p>
    <w:p>
      <w:pPr>
        <w:pStyle w:val="Compact"/>
        <w:numPr>
          <w:ilvl w:val="0"/>
          <w:numId w:val="1006"/>
        </w:numPr>
      </w:pPr>
      <w:r>
        <w:t xml:space="preserve">Stable or improving adoption among new customers.</w:t>
      </w:r>
    </w:p>
    <w:p>
      <w:pPr>
        <w:pStyle w:val="Compact"/>
        <w:numPr>
          <w:ilvl w:val="0"/>
          <w:numId w:val="1006"/>
        </w:numPr>
      </w:pPr>
      <w:r>
        <w:t xml:space="preserve">Evidence that Gold members hold more assets and use multiple products.</w:t>
      </w:r>
    </w:p>
    <w:p>
      <w:pPr>
        <w:pStyle w:val="Compact"/>
        <w:numPr>
          <w:ilvl w:val="0"/>
          <w:numId w:val="1006"/>
        </w:numPr>
      </w:pPr>
      <w:r>
        <w:t xml:space="preserve">Subscription growth that is not overly dependent on expensive rewards.</w:t>
      </w:r>
    </w:p>
    <w:bookmarkEnd w:id="15"/>
    <w:bookmarkStart w:id="16" w:name="credit-card-and-banking"/>
    <w:p>
      <w:pPr>
        <w:pStyle w:val="Heading3"/>
      </w:pPr>
      <w:r>
        <w:t xml:space="preserve">Credit card and banking</w:t>
      </w:r>
    </w:p>
    <w:p>
      <w:pPr>
        <w:pStyle w:val="FirstParagraph"/>
      </w:pPr>
      <w:r>
        <w:t xml:space="preserve">At the end of Q1:</w:t>
      </w:r>
    </w:p>
    <w:p>
      <w:pPr>
        <w:pStyle w:val="Compact"/>
        <w:numPr>
          <w:ilvl w:val="0"/>
          <w:numId w:val="1007"/>
        </w:numPr>
      </w:pPr>
      <w:r>
        <w:t xml:space="preserve">Gold Card had more than 800,000 funded customers.</w:t>
      </w:r>
    </w:p>
    <w:p>
      <w:pPr>
        <w:pStyle w:val="Compact"/>
        <w:numPr>
          <w:ilvl w:val="0"/>
          <w:numId w:val="1007"/>
        </w:numPr>
      </w:pPr>
      <w:r>
        <w:t xml:space="preserve">Annualized card purchase volume was approximately $15 billion.</w:t>
      </w:r>
    </w:p>
    <w:p>
      <w:pPr>
        <w:pStyle w:val="Compact"/>
        <w:numPr>
          <w:ilvl w:val="0"/>
          <w:numId w:val="1007"/>
        </w:numPr>
      </w:pPr>
      <w:r>
        <w:t xml:space="preserve">Management expected to exceed one million cards and $100 million of annual recurring revenue during 2026.</w:t>
      </w:r>
    </w:p>
    <w:p>
      <w:pPr>
        <w:pStyle w:val="Compact"/>
        <w:numPr>
          <w:ilvl w:val="0"/>
          <w:numId w:val="1007"/>
        </w:numPr>
      </w:pPr>
      <w:r>
        <w:t xml:space="preserve">Robinhood Banking had over $2 billion of deposits from more than 125,000 funded customers.</w:t>
      </w:r>
    </w:p>
    <w:p>
      <w:pPr>
        <w:pStyle w:val="Compact"/>
        <w:numPr>
          <w:ilvl w:val="0"/>
          <w:numId w:val="1007"/>
        </w:numPr>
      </w:pPr>
      <w:r>
        <w:t xml:space="preserve">Approximately 40% of banking customers had established direct deposit.</w:t>
      </w:r>
    </w:p>
    <w:p>
      <w:pPr>
        <w:pStyle w:val="FirstParagraph"/>
      </w:pPr>
      <w:r>
        <w:t xml:space="preserve">A Robinhood executive said in July that the card had surpassed one million customers, suggesting the card milestone has already been reached. The remaining questions concern economics:</w:t>
      </w:r>
    </w:p>
    <w:p>
      <w:pPr>
        <w:pStyle w:val="Compact"/>
        <w:numPr>
          <w:ilvl w:val="0"/>
          <w:numId w:val="1008"/>
        </w:numPr>
      </w:pPr>
      <w:r>
        <w:t xml:space="preserve">Credit losses and delinquency trends.</w:t>
      </w:r>
    </w:p>
    <w:p>
      <w:pPr>
        <w:pStyle w:val="Compact"/>
        <w:numPr>
          <w:ilvl w:val="0"/>
          <w:numId w:val="1008"/>
        </w:numPr>
      </w:pPr>
      <w:r>
        <w:t xml:space="preserve">Rewards and customer-acquisition costs.</w:t>
      </w:r>
    </w:p>
    <w:p>
      <w:pPr>
        <w:pStyle w:val="Compact"/>
        <w:numPr>
          <w:ilvl w:val="0"/>
          <w:numId w:val="1008"/>
        </w:numPr>
      </w:pPr>
      <w:r>
        <w:t xml:space="preserve">Revenue per card.</w:t>
      </w:r>
    </w:p>
    <w:p>
      <w:pPr>
        <w:pStyle w:val="Compact"/>
        <w:numPr>
          <w:ilvl w:val="0"/>
          <w:numId w:val="1008"/>
        </w:numPr>
      </w:pPr>
      <w:r>
        <w:t xml:space="preserve">Banking deposit growth.</w:t>
      </w:r>
    </w:p>
    <w:p>
      <w:pPr>
        <w:pStyle w:val="Compact"/>
        <w:numPr>
          <w:ilvl w:val="0"/>
          <w:numId w:val="1008"/>
        </w:numPr>
      </w:pPr>
      <w:r>
        <w:t xml:space="preserve">Whether banking is attracting new users or primarily cross-selling existing brokerage customers.</w:t>
      </w:r>
    </w:p>
    <w:p>
      <w:pPr>
        <w:pStyle w:val="FirstParagraph"/>
      </w:pPr>
      <w:r>
        <w:t xml:space="preserve">Credit quality deserves particular attention because the provision for credit losses was already up 50% year over year in Q1.</w:t>
      </w:r>
    </w:p>
    <w:bookmarkEnd w:id="16"/>
    <w:bookmarkEnd w:id="17"/>
    <w:bookmarkStart w:id="19" w:name="expenses-are-the-potential-swing-factor"/>
    <w:p>
      <w:pPr>
        <w:pStyle w:val="Heading2"/>
      </w:pPr>
      <w:r>
        <w:t xml:space="preserve">Expenses are the potential swing factor</w:t>
      </w:r>
    </w:p>
    <w:p>
      <w:pPr>
        <w:pStyle w:val="FirstParagraph"/>
      </w:pPr>
      <w:r>
        <w:t xml:space="preserve">Robinhood entered 2026 planning substantial investment in products, international expansion, AI, acquisitions, and government-related Trump Accounts. Following Q1, the company raised its full-year outlook for adjusted operating expenses plus stock compensation to:</w:t>
      </w:r>
    </w:p>
    <w:p>
      <w:pPr>
        <w:pStyle w:val="BodyText"/>
      </w:pPr>
      <m:oMath>
        <m:r>
          <m:t>2.70</m:t>
        </m:r>
        <m:r>
          <m:t>b</m:t>
        </m:r>
        <m:r>
          <m:t>i</m:t>
        </m:r>
        <m:r>
          <m:t>l</m:t>
        </m:r>
        <m:r>
          <m:t>l</m:t>
        </m:r>
        <m:r>
          <m:t>i</m:t>
        </m:r>
        <m:r>
          <m:t>o</m:t>
        </m:r>
        <m:r>
          <m:t>n</m:t>
        </m:r>
        <m:r>
          <m:rPr>
            <m:sty m:val="p"/>
          </m:rPr>
          <m:t>–</m:t>
        </m:r>
      </m:oMath>
      <w:r>
        <w:rPr>
          <w:b/>
          <w:bCs/>
        </w:rPr>
        <w:t xml:space="preserve">2.825 billion</w:t>
      </w:r>
      <w:r>
        <w:t xml:space="preserve">, up $100 million from its prior range.</w:t>
      </w:r>
    </w:p>
    <w:p>
      <w:pPr>
        <w:pStyle w:val="BodyText"/>
      </w:pPr>
      <w:r>
        <w:t xml:space="preserve">The increase reflected expected costs to build and support Trump Accounts. Management said roughly half of the incremental $100 million would occur in Q2, although the work is structured on a cost-plus basis and should generate slightly more revenue than expense.</w:t>
      </w:r>
    </w:p>
    <w:p>
      <w:pPr>
        <w:pStyle w:val="BodyText"/>
      </w:pPr>
      <w:r>
        <w:t xml:space="preserve">Then, on June 16, Robinhood announced a reduction affecting approximately</w:t>
      </w:r>
      <w:r>
        <w:t xml:space="preserve"> </w:t>
      </w:r>
      <w:r>
        <w:rPr>
          <w:b/>
          <w:bCs/>
        </w:rPr>
        <w:t xml:space="preserve">10% of full-time employees</w:t>
      </w:r>
      <w:r>
        <w:t xml:space="preserve">. The company expects Q2 restructuring charges of approximately:</w:t>
      </w:r>
    </w:p>
    <w:p>
      <w:pPr>
        <w:pStyle w:val="Compact"/>
        <w:numPr>
          <w:ilvl w:val="0"/>
          <w:numId w:val="1009"/>
        </w:numPr>
      </w:pPr>
      <w:r>
        <w:t xml:space="preserve">$20 million in cash severance and benefit costs.</w:t>
      </w:r>
    </w:p>
    <w:p>
      <w:pPr>
        <w:pStyle w:val="Compact"/>
        <w:numPr>
          <w:ilvl w:val="0"/>
          <w:numId w:val="1009"/>
        </w:numPr>
      </w:pPr>
      <w:r>
        <w:t xml:space="preserve">$8 million in share-based compensation.</w:t>
      </w:r>
    </w:p>
    <w:p>
      <w:pPr>
        <w:pStyle w:val="FirstParagraph"/>
      </w:pPr>
      <w:r>
        <w:t xml:space="preserve">These charges should affect GAAP expenses but are likely to be excluded from adjusted measures.</w:t>
      </w:r>
    </w:p>
    <w:bookmarkStart w:id="18" w:name="the-key-guidance-question"/>
    <w:p>
      <w:pPr>
        <w:pStyle w:val="Heading3"/>
      </w:pPr>
      <w:r>
        <w:t xml:space="preserve">The key guidance question</w:t>
      </w:r>
    </w:p>
    <w:p>
      <w:pPr>
        <w:pStyle w:val="FirstParagraph"/>
      </w:pPr>
      <w:r>
        <w:t xml:space="preserve">Investors need management to explain how the workforce reduction changes the 2026 expense outlook:</w:t>
      </w:r>
    </w:p>
    <w:p>
      <w:pPr>
        <w:pStyle w:val="Compact"/>
        <w:numPr>
          <w:ilvl w:val="0"/>
          <w:numId w:val="1010"/>
        </w:numPr>
      </w:pPr>
      <w:r>
        <w:t xml:space="preserve">Will Robinhood lower the</w:t>
      </w:r>
      <w:r>
        <w:t xml:space="preserve"> </w:t>
      </w:r>
      <m:oMath>
        <m:r>
          <m:t>2.70</m:t>
        </m:r>
        <m:r>
          <m:t>b</m:t>
        </m:r>
        <m:r>
          <m:t>i</m:t>
        </m:r>
        <m:r>
          <m:t>l</m:t>
        </m:r>
        <m:r>
          <m:t>l</m:t>
        </m:r>
        <m:r>
          <m:t>i</m:t>
        </m:r>
        <m:r>
          <m:t>o</m:t>
        </m:r>
        <m:r>
          <m:t>n</m:t>
        </m:r>
        <m:r>
          <m:rPr>
            <m:sty m:val="p"/>
          </m:rPr>
          <m:t>–</m:t>
        </m:r>
      </m:oMath>
      <w:r>
        <w:t xml:space="preserve">2.825 billion range?</w:t>
      </w:r>
    </w:p>
    <w:p>
      <w:pPr>
        <w:pStyle w:val="Compact"/>
        <w:numPr>
          <w:ilvl w:val="0"/>
          <w:numId w:val="1010"/>
        </w:numPr>
      </w:pPr>
      <w:r>
        <w:t xml:space="preserve">Will the savings be reinvested in products, marketing, international growth, or acquisitions?</w:t>
      </w:r>
    </w:p>
    <w:p>
      <w:pPr>
        <w:pStyle w:val="Compact"/>
        <w:numPr>
          <w:ilvl w:val="0"/>
          <w:numId w:val="1010"/>
        </w:numPr>
      </w:pPr>
      <w:r>
        <w:t xml:space="preserve">How much annualized cost reduction should be visible in the second half?</w:t>
      </w:r>
    </w:p>
    <w:p>
      <w:pPr>
        <w:pStyle w:val="Compact"/>
        <w:numPr>
          <w:ilvl w:val="0"/>
          <w:numId w:val="1010"/>
        </w:numPr>
      </w:pPr>
      <w:r>
        <w:t xml:space="preserve">Does the reduction reflect AI-driven productivity, removal of duplicated roles, or a softer growth outlook?</w:t>
      </w:r>
    </w:p>
    <w:p>
      <w:pPr>
        <w:pStyle w:val="FirstParagraph"/>
      </w:pPr>
      <w:r>
        <w:t xml:space="preserve">Management characterized the reduction as coming from a position of strength and said June month-to-date average daily volumes were at record levels across equities, options, and prediction markets. That raises the hurdle for management to show that the action improves operating leverage without reducing product velocity.</w:t>
      </w:r>
    </w:p>
    <w:bookmarkEnd w:id="18"/>
    <w:bookmarkEnd w:id="19"/>
    <w:bookmarkStart w:id="20" w:name="X7dc8b57b190a3c6c159d33549aa7f87e2a5a643"/>
    <w:p>
      <w:pPr>
        <w:pStyle w:val="Heading2"/>
      </w:pPr>
      <w:r>
        <w:t xml:space="preserve">Net interest income and securities lending</w:t>
      </w:r>
    </w:p>
    <w:p>
      <w:pPr>
        <w:pStyle w:val="FirstParagraph"/>
      </w:pPr>
      <w:r>
        <w:t xml:space="preserve">Net interest revenue was $359 million in Q1, up 24% year over year but down from $411 million in Q4.</w:t>
      </w:r>
    </w:p>
    <w:p>
      <w:pPr>
        <w:pStyle w:val="BodyText"/>
      </w:pPr>
      <w:r>
        <w:t xml:space="preserve">Several moving pieces matter:</w:t>
      </w:r>
    </w:p>
    <w:p>
      <w:pPr>
        <w:pStyle w:val="Compact"/>
        <w:numPr>
          <w:ilvl w:val="0"/>
          <w:numId w:val="1011"/>
        </w:numPr>
      </w:pPr>
      <w:r>
        <w:t xml:space="preserve">The margin book nearly doubled year over year to $17 billion.</w:t>
      </w:r>
    </w:p>
    <w:p>
      <w:pPr>
        <w:pStyle w:val="Compact"/>
        <w:numPr>
          <w:ilvl w:val="0"/>
          <w:numId w:val="1011"/>
        </w:numPr>
      </w:pPr>
      <w:r>
        <w:t xml:space="preserve">Robinhood shifted more than $6 billion from off-balance-sheet cash sweep balances to customer free-credit balances to help fund margin lending.</w:t>
      </w:r>
    </w:p>
    <w:p>
      <w:pPr>
        <w:pStyle w:val="Compact"/>
        <w:numPr>
          <w:ilvl w:val="0"/>
          <w:numId w:val="1011"/>
        </w:numPr>
      </w:pPr>
      <w:r>
        <w:t xml:space="preserve">Growth in interest-earning assets has offset lower short-term rates.</w:t>
      </w:r>
    </w:p>
    <w:p>
      <w:pPr>
        <w:pStyle w:val="Compact"/>
        <w:numPr>
          <w:ilvl w:val="0"/>
          <w:numId w:val="1011"/>
        </w:numPr>
      </w:pPr>
      <w:r>
        <w:t xml:space="preserve">Securities-lending revenue has faced pressure from lower special-borrow rates, although increased IPO activity could help.</w:t>
      </w:r>
    </w:p>
    <w:p>
      <w:pPr>
        <w:pStyle w:val="Compact"/>
        <w:numPr>
          <w:ilvl w:val="0"/>
          <w:numId w:val="1011"/>
        </w:numPr>
      </w:pPr>
      <w:r>
        <w:t xml:space="preserve">Further rate declines would pressure yields, though greater asset and margin balances can offset part of that impact.</w:t>
      </w:r>
    </w:p>
    <w:p>
      <w:pPr>
        <w:pStyle w:val="FirstParagraph"/>
      </w:pPr>
      <w:r>
        <w:t xml:space="preserve">A favorable result would include continued margin growth and stable net interest revenue without a notable increase in customer credit or liquidity risk.</w:t>
      </w:r>
    </w:p>
    <w:bookmarkEnd w:id="20"/>
    <w:bookmarkStart w:id="21" w:name="X42f610d9b8e137490408d02ca076f47436a5b94"/>
    <w:p>
      <w:pPr>
        <w:pStyle w:val="Heading2"/>
      </w:pPr>
      <w:r>
        <w:t xml:space="preserve">Capital allocation: buybacks, converts and possible M&amp;A</w:t>
      </w:r>
    </w:p>
    <w:p>
      <w:pPr>
        <w:pStyle w:val="FirstParagraph"/>
      </w:pPr>
      <w:r>
        <w:t xml:space="preserve">In June, Robinhood issued</w:t>
      </w:r>
      <w:r>
        <w:t xml:space="preserve"> </w:t>
      </w:r>
      <w:r>
        <w:rPr>
          <w:b/>
          <w:bCs/>
        </w:rPr>
        <w:t xml:space="preserve">$2.2 billion of zero-coupon convertible notes due 2029</w:t>
      </w:r>
      <w:r>
        <w:t xml:space="preserve">, generating approximately $2.17 billion of net proceeds.</w:t>
      </w:r>
    </w:p>
    <w:p>
      <w:pPr>
        <w:pStyle w:val="BodyText"/>
      </w:pPr>
      <w:r>
        <w:t xml:space="preserve">The company used:</w:t>
      </w:r>
    </w:p>
    <w:p>
      <w:pPr>
        <w:pStyle w:val="Compact"/>
        <w:numPr>
          <w:ilvl w:val="0"/>
          <w:numId w:val="1012"/>
        </w:numPr>
      </w:pPr>
      <w:r>
        <w:t xml:space="preserve">Approximately $290 million to repurchase 2.743 million shares.</w:t>
      </w:r>
    </w:p>
    <w:p>
      <w:pPr>
        <w:pStyle w:val="Compact"/>
        <w:numPr>
          <w:ilvl w:val="0"/>
          <w:numId w:val="1012"/>
        </w:numPr>
      </w:pPr>
      <w:r>
        <w:t xml:space="preserve">$123 million for capped-call transactions intended to reduce conversion dilution.</w:t>
      </w:r>
    </w:p>
    <w:p>
      <w:pPr>
        <w:pStyle w:val="Compact"/>
        <w:numPr>
          <w:ilvl w:val="0"/>
          <w:numId w:val="1012"/>
        </w:numPr>
      </w:pPr>
      <w:r>
        <w:t xml:space="preserve">The remaining proceeds for potential organic investment, acquisitions, capital expenditures, or other corporate purposes.</w:t>
      </w:r>
    </w:p>
    <w:p>
      <w:pPr>
        <w:pStyle w:val="FirstParagraph"/>
      </w:pPr>
      <w:r>
        <w:t xml:space="preserve">The capped calls substantially increase the share-price threshold at which the convert would create net dilution. Still, investors should ask why Robinhood raised so much capital despite ending Q1 with $5 billion of cash.</w:t>
      </w:r>
    </w:p>
    <w:p>
      <w:pPr>
        <w:pStyle w:val="BodyText"/>
      </w:pPr>
      <w:r>
        <w:t xml:space="preserve">Possible interpretations include:</w:t>
      </w:r>
    </w:p>
    <w:p>
      <w:pPr>
        <w:pStyle w:val="Compact"/>
        <w:numPr>
          <w:ilvl w:val="0"/>
          <w:numId w:val="1013"/>
        </w:numPr>
      </w:pPr>
      <w:r>
        <w:t xml:space="preserve">Opportunistic, low-cost financing.</w:t>
      </w:r>
    </w:p>
    <w:p>
      <w:pPr>
        <w:pStyle w:val="Compact"/>
        <w:numPr>
          <w:ilvl w:val="0"/>
          <w:numId w:val="1013"/>
        </w:numPr>
      </w:pPr>
      <w:r>
        <w:t xml:space="preserve">Preparation for acquisitions.</w:t>
      </w:r>
    </w:p>
    <w:p>
      <w:pPr>
        <w:pStyle w:val="Compact"/>
        <w:numPr>
          <w:ilvl w:val="0"/>
          <w:numId w:val="1013"/>
        </w:numPr>
      </w:pPr>
      <w:r>
        <w:t xml:space="preserve">Additional capital to support credit, margin, banking or international expansion.</w:t>
      </w:r>
    </w:p>
    <w:p>
      <w:pPr>
        <w:pStyle w:val="Compact"/>
        <w:numPr>
          <w:ilvl w:val="0"/>
          <w:numId w:val="1013"/>
        </w:numPr>
      </w:pPr>
      <w:r>
        <w:t xml:space="preserve">A larger cushion for regulatory and operating requirements.</w:t>
      </w:r>
    </w:p>
    <w:p>
      <w:pPr>
        <w:pStyle w:val="FirstParagraph"/>
      </w:pPr>
      <w:r>
        <w:t xml:space="preserve">Management’s comments about intended deployment—and whether the company can keep diluted share count roughly flat—will influence the assessment.</w:t>
      </w:r>
    </w:p>
    <w:bookmarkEnd w:id="21"/>
    <w:bookmarkStart w:id="25" w:name="product-and-strategic-updates-to-watch"/>
    <w:p>
      <w:pPr>
        <w:pStyle w:val="Heading2"/>
      </w:pPr>
      <w:r>
        <w:t xml:space="preserve">Product and strategic updates to watch</w:t>
      </w:r>
    </w:p>
    <w:bookmarkStart w:id="22" w:name="tokenization-and-robinhood-chain"/>
    <w:p>
      <w:pPr>
        <w:pStyle w:val="Heading3"/>
      </w:pPr>
      <w:r>
        <w:t xml:space="preserve">Tokenization and Robinhood Chain</w:t>
      </w:r>
    </w:p>
    <w:p>
      <w:pPr>
        <w:pStyle w:val="FirstParagraph"/>
      </w:pPr>
      <w:r>
        <w:t xml:space="preserve">Robinhood launched its public Chain testnet before Q1 earnings and followed with additional products in July. Because much of the latest activity occurred after quarter-end, it is unlikely to contribute meaningfully to Q2 revenue. However, management may provide early engagement statistics and a commercialization roadmap.</w:t>
      </w:r>
    </w:p>
    <w:p>
      <w:pPr>
        <w:pStyle w:val="BodyText"/>
      </w:pPr>
      <w:r>
        <w:t xml:space="preserve">Investors should distinguish between:</w:t>
      </w:r>
    </w:p>
    <w:p>
      <w:pPr>
        <w:pStyle w:val="Compact"/>
        <w:numPr>
          <w:ilvl w:val="0"/>
          <w:numId w:val="1014"/>
        </w:numPr>
      </w:pPr>
      <w:r>
        <w:t xml:space="preserve">Near-term trading and lending revenue.</w:t>
      </w:r>
    </w:p>
    <w:p>
      <w:pPr>
        <w:pStyle w:val="Compact"/>
        <w:numPr>
          <w:ilvl w:val="0"/>
          <w:numId w:val="1014"/>
        </w:numPr>
      </w:pPr>
      <w:r>
        <w:t xml:space="preserve">Infrastructure usage that does not yet generate meaningful economics.</w:t>
      </w:r>
    </w:p>
    <w:p>
      <w:pPr>
        <w:pStyle w:val="Compact"/>
        <w:numPr>
          <w:ilvl w:val="0"/>
          <w:numId w:val="1014"/>
        </w:numPr>
      </w:pPr>
      <w:r>
        <w:t xml:space="preserve">The longer-term strategic value of tokenized equities and real-world assets.</w:t>
      </w:r>
    </w:p>
    <w:bookmarkEnd w:id="22"/>
    <w:bookmarkStart w:id="23" w:name="international-growth"/>
    <w:p>
      <w:pPr>
        <w:pStyle w:val="Heading3"/>
      </w:pPr>
      <w:r>
        <w:t xml:space="preserve">International growth</w:t>
      </w:r>
    </w:p>
    <w:p>
      <w:pPr>
        <w:pStyle w:val="FirstParagraph"/>
      </w:pPr>
      <w:r>
        <w:t xml:space="preserve">The company was approaching one million international funded customers in Q1 and had received in-principle approval to offer brokerage services in Singapore. Other items to monitor include:</w:t>
      </w:r>
    </w:p>
    <w:p>
      <w:pPr>
        <w:pStyle w:val="Compact"/>
        <w:numPr>
          <w:ilvl w:val="0"/>
          <w:numId w:val="1015"/>
        </w:numPr>
      </w:pPr>
      <w:r>
        <w:t xml:space="preserve">Canadian crypto growth following WonderFi.</w:t>
      </w:r>
    </w:p>
    <w:p>
      <w:pPr>
        <w:pStyle w:val="Compact"/>
        <w:numPr>
          <w:ilvl w:val="0"/>
          <w:numId w:val="1015"/>
        </w:numPr>
      </w:pPr>
      <w:r>
        <w:t xml:space="preserve">Bitstamp institutional market share.</w:t>
      </w:r>
    </w:p>
    <w:p>
      <w:pPr>
        <w:pStyle w:val="Compact"/>
        <w:numPr>
          <w:ilvl w:val="0"/>
          <w:numId w:val="1015"/>
        </w:numPr>
      </w:pPr>
      <w:r>
        <w:t xml:space="preserve">Crypto perpetuals in Europe.</w:t>
      </w:r>
    </w:p>
    <w:p>
      <w:pPr>
        <w:pStyle w:val="Compact"/>
        <w:numPr>
          <w:ilvl w:val="0"/>
          <w:numId w:val="1015"/>
        </w:numPr>
      </w:pPr>
      <w:r>
        <w:t xml:space="preserve">Stock-token adoption.</w:t>
      </w:r>
    </w:p>
    <w:p>
      <w:pPr>
        <w:pStyle w:val="Compact"/>
        <w:numPr>
          <w:ilvl w:val="0"/>
          <w:numId w:val="1015"/>
        </w:numPr>
      </w:pPr>
      <w:r>
        <w:t xml:space="preserve">Timing of broader brokerage launches in Asia.</w:t>
      </w:r>
    </w:p>
    <w:p>
      <w:pPr>
        <w:pStyle w:val="FirstParagraph"/>
      </w:pPr>
      <w:r>
        <w:t xml:space="preserve">International expansion can enlarge the addressable market, but it also raises compliance spending and execution complexity.</w:t>
      </w:r>
    </w:p>
    <w:bookmarkEnd w:id="23"/>
    <w:bookmarkStart w:id="24" w:name="ai-and-product-velocity"/>
    <w:p>
      <w:pPr>
        <w:pStyle w:val="Heading3"/>
      </w:pPr>
      <w:r>
        <w:t xml:space="preserve">AI and product velocity</w:t>
      </w:r>
    </w:p>
    <w:p>
      <w:pPr>
        <w:pStyle w:val="FirstParagraph"/>
      </w:pPr>
      <w:r>
        <w:t xml:space="preserve">Robinhood has said more than 90% of employees use AI tools and that engineering output has increased materially. The workforce reduction makes this more relevant: investors will want evidence that AI efficiencies are becoming visible in expenses and faster product delivery rather than remaining an anecdotal benefit.</w:t>
      </w:r>
    </w:p>
    <w:bookmarkEnd w:id="24"/>
    <w:bookmarkEnd w:id="25"/>
    <w:bookmarkStart w:id="26" w:name="stock-setup"/>
    <w:p>
      <w:pPr>
        <w:pStyle w:val="Heading2"/>
      </w:pPr>
      <w:r>
        <w:t xml:space="preserve">Stock setup</w:t>
      </w:r>
    </w:p>
    <w:p>
      <w:pPr>
        <w:pStyle w:val="FirstParagraph"/>
      </w:pPr>
      <w:r>
        <w:t xml:space="preserve">HOOD closed at</w:t>
      </w:r>
      <w:r>
        <w:t xml:space="preserve"> </w:t>
      </w:r>
      <w:r>
        <w:rPr>
          <w:b/>
          <w:bCs/>
        </w:rPr>
        <w:t xml:space="preserve">$92.78 on July 28</w:t>
      </w:r>
      <w:r>
        <w:t xml:space="preserve">:</w:t>
      </w:r>
    </w:p>
    <w:p>
      <w:pPr>
        <w:pStyle w:val="Compact"/>
        <w:numPr>
          <w:ilvl w:val="0"/>
          <w:numId w:val="1016"/>
        </w:numPr>
      </w:pPr>
      <w:r>
        <w:t xml:space="preserve">Down approximately</w:t>
      </w:r>
      <w:r>
        <w:t xml:space="preserve"> </w:t>
      </w:r>
      <w:r>
        <w:rPr>
          <w:b/>
          <w:bCs/>
        </w:rPr>
        <w:t xml:space="preserve">18% year to date</w:t>
      </w:r>
      <w:r>
        <w:t xml:space="preserve"> </w:t>
      </w:r>
      <w:r>
        <w:t xml:space="preserve">from its December 31 close.</w:t>
      </w:r>
    </w:p>
    <w:p>
      <w:pPr>
        <w:pStyle w:val="Compact"/>
        <w:numPr>
          <w:ilvl w:val="0"/>
          <w:numId w:val="1016"/>
        </w:numPr>
      </w:pPr>
      <w:r>
        <w:t xml:space="preserve">Down about</w:t>
      </w:r>
      <w:r>
        <w:t xml:space="preserve"> </w:t>
      </w:r>
      <w:r>
        <w:rPr>
          <w:b/>
          <w:bCs/>
        </w:rPr>
        <w:t xml:space="preserve">21% from its July 6 closing high</w:t>
      </w:r>
      <w:r>
        <w:t xml:space="preserve"> </w:t>
      </w:r>
      <w:r>
        <w:t xml:space="preserve">of $117.55.</w:t>
      </w:r>
    </w:p>
    <w:p>
      <w:pPr>
        <w:pStyle w:val="Compact"/>
        <w:numPr>
          <w:ilvl w:val="0"/>
          <w:numId w:val="1016"/>
        </w:numPr>
      </w:pPr>
      <w:r>
        <w:t xml:space="preserve">Still well above its spring lows.</w:t>
      </w:r>
    </w:p>
    <w:p>
      <w:pPr>
        <w:pStyle w:val="FirstParagraph"/>
      </w:pPr>
      <w:r>
        <w:t xml:space="preserve">The recent pullback reduces the immediate expectations embedded in the stock, but HOOD remains highly sensitive to changes in estimated growth and revenue mix. The reaction is likely to depend more on deposits, prediction-market economics, expense guidance and the forward outlook than on a small EPS beat or miss.</w:t>
      </w:r>
    </w:p>
    <w:bookmarkEnd w:id="26"/>
    <w:bookmarkStart w:id="30" w:name="bull-base-and-bear-cases"/>
    <w:p>
      <w:pPr>
        <w:pStyle w:val="Heading2"/>
      </w:pPr>
      <w:r>
        <w:t xml:space="preserve">Bull, base and bear cases</w:t>
      </w:r>
    </w:p>
    <w:bookmarkStart w:id="27" w:name="bull-case"/>
    <w:p>
      <w:pPr>
        <w:pStyle w:val="Heading3"/>
      </w:pPr>
      <w:r>
        <w:t xml:space="preserve">Bull case</w:t>
      </w:r>
    </w:p>
    <w:p>
      <w:pPr>
        <w:pStyle w:val="Compact"/>
        <w:numPr>
          <w:ilvl w:val="0"/>
          <w:numId w:val="1017"/>
        </w:numPr>
      </w:pPr>
      <w:r>
        <w:t xml:space="preserve">Revenue materially exceeds $1.29 billion.</w:t>
      </w:r>
    </w:p>
    <w:p>
      <w:pPr>
        <w:pStyle w:val="Compact"/>
        <w:numPr>
          <w:ilvl w:val="0"/>
          <w:numId w:val="1017"/>
        </w:numPr>
      </w:pPr>
      <w:r>
        <w:t xml:space="preserve">Prediction markets more than offset the crypto decline.</w:t>
      </w:r>
    </w:p>
    <w:p>
      <w:pPr>
        <w:pStyle w:val="Compact"/>
        <w:numPr>
          <w:ilvl w:val="0"/>
          <w:numId w:val="1017"/>
        </w:numPr>
      </w:pPr>
      <w:r>
        <w:t xml:space="preserve">Net deposits remain at least</w:t>
      </w:r>
      <w:r>
        <w:t xml:space="preserve"> </w:t>
      </w:r>
      <m:oMath>
        <m:r>
          <m:t>17</m:t>
        </m:r>
        <m:r>
          <m:t>b</m:t>
        </m:r>
        <m:r>
          <m:t>i</m:t>
        </m:r>
        <m:r>
          <m:t>l</m:t>
        </m:r>
        <m:r>
          <m:t>l</m:t>
        </m:r>
        <m:r>
          <m:t>i</m:t>
        </m:r>
        <m:r>
          <m:t>o</m:t>
        </m:r>
        <m:r>
          <m:t>n</m:t>
        </m:r>
        <m:r>
          <m:rPr>
            <m:sty m:val="p"/>
          </m:rPr>
          <m:t>–</m:t>
        </m:r>
      </m:oMath>
      <w:r>
        <w:t xml:space="preserve">18 billion.</w:t>
      </w:r>
    </w:p>
    <w:p>
      <w:pPr>
        <w:pStyle w:val="Compact"/>
        <w:numPr>
          <w:ilvl w:val="0"/>
          <w:numId w:val="1017"/>
        </w:numPr>
      </w:pPr>
      <w:r>
        <w:t xml:space="preserve">Gold, banking and credit-card adoption remain strong.</w:t>
      </w:r>
    </w:p>
    <w:p>
      <w:pPr>
        <w:pStyle w:val="Compact"/>
        <w:numPr>
          <w:ilvl w:val="0"/>
          <w:numId w:val="1017"/>
        </w:numPr>
      </w:pPr>
      <w:r>
        <w:t xml:space="preserve">Management lowers or tightens expense guidance after the workforce reduction.</w:t>
      </w:r>
    </w:p>
    <w:p>
      <w:pPr>
        <w:pStyle w:val="Compact"/>
        <w:numPr>
          <w:ilvl w:val="0"/>
          <w:numId w:val="1017"/>
        </w:numPr>
      </w:pPr>
      <w:r>
        <w:t xml:space="preserve">Credit losses remain controlled.</w:t>
      </w:r>
    </w:p>
    <w:p>
      <w:pPr>
        <w:pStyle w:val="Compact"/>
        <w:numPr>
          <w:ilvl w:val="0"/>
          <w:numId w:val="1017"/>
        </w:numPr>
      </w:pPr>
      <w:r>
        <w:t xml:space="preserve">July trading commentary is constructive.</w:t>
      </w:r>
    </w:p>
    <w:p>
      <w:pPr>
        <w:pStyle w:val="Compact"/>
        <w:numPr>
          <w:ilvl w:val="0"/>
          <w:numId w:val="1017"/>
        </w:numPr>
      </w:pPr>
      <w:r>
        <w:t xml:space="preserve">Management provides credible Rothera and international-growth timelines.</w:t>
      </w:r>
    </w:p>
    <w:p>
      <w:pPr>
        <w:pStyle w:val="FirstParagraph"/>
      </w:pPr>
      <w:r>
        <w:t xml:space="preserve">This would support the argument that Robinhood is becoming a diversified financial platform rather than a leveraged proxy for crypto trading.</w:t>
      </w:r>
    </w:p>
    <w:bookmarkEnd w:id="27"/>
    <w:bookmarkStart w:id="28" w:name="base-case"/>
    <w:p>
      <w:pPr>
        <w:pStyle w:val="Heading3"/>
      </w:pPr>
      <w:r>
        <w:t xml:space="preserve">Base case</w:t>
      </w:r>
    </w:p>
    <w:p>
      <w:pPr>
        <w:pStyle w:val="Compact"/>
        <w:numPr>
          <w:ilvl w:val="0"/>
          <w:numId w:val="1018"/>
        </w:numPr>
      </w:pPr>
      <w:r>
        <w:t xml:space="preserve">Revenue and EPS land close to consensus.</w:t>
      </w:r>
    </w:p>
    <w:p>
      <w:pPr>
        <w:pStyle w:val="Compact"/>
        <w:numPr>
          <w:ilvl w:val="0"/>
          <w:numId w:val="1018"/>
        </w:numPr>
      </w:pPr>
      <w:r>
        <w:t xml:space="preserve">Crypto weakness is offset by event contracts and equities/options.</w:t>
      </w:r>
    </w:p>
    <w:p>
      <w:pPr>
        <w:pStyle w:val="Compact"/>
        <w:numPr>
          <w:ilvl w:val="0"/>
          <w:numId w:val="1018"/>
        </w:numPr>
      </w:pPr>
      <w:r>
        <w:t xml:space="preserve">Deposits remain in the mid-teens.</w:t>
      </w:r>
    </w:p>
    <w:p>
      <w:pPr>
        <w:pStyle w:val="Compact"/>
        <w:numPr>
          <w:ilvl w:val="0"/>
          <w:numId w:val="1018"/>
        </w:numPr>
      </w:pPr>
      <w:r>
        <w:t xml:space="preserve">GAAP expenses are elevated by restructuring, while adjusted guidance is largely maintained.</w:t>
      </w:r>
    </w:p>
    <w:p>
      <w:pPr>
        <w:pStyle w:val="Compact"/>
        <w:numPr>
          <w:ilvl w:val="0"/>
          <w:numId w:val="1018"/>
        </w:numPr>
      </w:pPr>
      <w:r>
        <w:t xml:space="preserve">Management emphasizes investment and product launches but offers limited near-term financial detail.</w:t>
      </w:r>
    </w:p>
    <w:p>
      <w:pPr>
        <w:pStyle w:val="FirstParagraph"/>
      </w:pPr>
      <w:r>
        <w:t xml:space="preserve">The stock reaction could be muted or volatile depending on forward trading commentary.</w:t>
      </w:r>
    </w:p>
    <w:bookmarkEnd w:id="28"/>
    <w:bookmarkStart w:id="29" w:name="bear-case"/>
    <w:p>
      <w:pPr>
        <w:pStyle w:val="Heading3"/>
      </w:pPr>
      <w:r>
        <w:t xml:space="preserve">Bear case</w:t>
      </w:r>
    </w:p>
    <w:p>
      <w:pPr>
        <w:pStyle w:val="Compact"/>
        <w:numPr>
          <w:ilvl w:val="0"/>
          <w:numId w:val="1019"/>
        </w:numPr>
      </w:pPr>
      <w:r>
        <w:t xml:space="preserve">Revenue misses despite relatively low crypto expectations.</w:t>
      </w:r>
    </w:p>
    <w:p>
      <w:pPr>
        <w:pStyle w:val="Compact"/>
        <w:numPr>
          <w:ilvl w:val="0"/>
          <w:numId w:val="1019"/>
        </w:numPr>
      </w:pPr>
      <w:r>
        <w:t xml:space="preserve">Prediction-market revenue or monetization falls short.</w:t>
      </w:r>
    </w:p>
    <w:p>
      <w:pPr>
        <w:pStyle w:val="Compact"/>
        <w:numPr>
          <w:ilvl w:val="0"/>
          <w:numId w:val="1019"/>
        </w:numPr>
      </w:pPr>
      <w:r>
        <w:t xml:space="preserve">Net deposits slow significantly.</w:t>
      </w:r>
    </w:p>
    <w:p>
      <w:pPr>
        <w:pStyle w:val="Compact"/>
        <w:numPr>
          <w:ilvl w:val="0"/>
          <w:numId w:val="1019"/>
        </w:numPr>
      </w:pPr>
      <w:r>
        <w:t xml:space="preserve">Credit losses rise with card growth.</w:t>
      </w:r>
    </w:p>
    <w:p>
      <w:pPr>
        <w:pStyle w:val="Compact"/>
        <w:numPr>
          <w:ilvl w:val="0"/>
          <w:numId w:val="1019"/>
        </w:numPr>
      </w:pPr>
      <w:r>
        <w:t xml:space="preserve">Management maintains high expense guidance without quantifying savings from the workforce reduction.</w:t>
      </w:r>
    </w:p>
    <w:p>
      <w:pPr>
        <w:pStyle w:val="Compact"/>
        <w:numPr>
          <w:ilvl w:val="0"/>
          <w:numId w:val="1019"/>
        </w:numPr>
      </w:pPr>
      <w:r>
        <w:t xml:space="preserve">Rothera is delayed or regulatory language becomes more cautious.</w:t>
      </w:r>
    </w:p>
    <w:p>
      <w:pPr>
        <w:pStyle w:val="Compact"/>
        <w:numPr>
          <w:ilvl w:val="0"/>
          <w:numId w:val="1019"/>
        </w:numPr>
      </w:pPr>
      <w:r>
        <w:t xml:space="preserve">Share-count growth undermines the EPS-per-share framework.</w:t>
      </w:r>
    </w:p>
    <w:p>
      <w:pPr>
        <w:pStyle w:val="FirstParagraph"/>
      </w:pPr>
      <w:r>
        <w:t xml:space="preserve">Such a result would revive concerns that Robinhood’s earnings remain highly dependent on favorable retail trading cycles.</w:t>
      </w:r>
    </w:p>
    <w:bookmarkEnd w:id="29"/>
    <w:bookmarkEnd w:id="30"/>
    <w:bookmarkStart w:id="31" w:name="bottom-line"/>
    <w:p>
      <w:pPr>
        <w:pStyle w:val="Heading2"/>
      </w:pPr>
      <w:r>
        <w:t xml:space="preserve">Bottom line</w:t>
      </w:r>
    </w:p>
    <w:p>
      <w:pPr>
        <w:pStyle w:val="FirstParagraph"/>
      </w:pPr>
      <w:r>
        <w:t xml:space="preserve">The headline numbers matter, but this report is primarily a test of</w:t>
      </w:r>
      <w:r>
        <w:t xml:space="preserve"> </w:t>
      </w:r>
      <w:r>
        <w:rPr>
          <w:b/>
          <w:bCs/>
        </w:rPr>
        <w:t xml:space="preserve">revenue diversification and operating discipline</w:t>
      </w:r>
      <w:r>
        <w:t xml:space="preserve">.</w:t>
      </w:r>
    </w:p>
    <w:p>
      <w:pPr>
        <w:pStyle w:val="BodyText"/>
      </w:pPr>
      <w:r>
        <w:t xml:space="preserve">The cleanest scorecard is:</w:t>
      </w:r>
    </w:p>
    <w:p>
      <w:pPr>
        <w:pStyle w:val="Compact"/>
        <w:numPr>
          <w:ilvl w:val="0"/>
          <w:numId w:val="1020"/>
        </w:numPr>
      </w:pPr>
      <w:r>
        <w:rPr>
          <w:b/>
          <w:bCs/>
        </w:rPr>
        <w:t xml:space="preserve">Can prediction markets, equities and options offset a roughly 45% expected decline in crypto revenue?</w:t>
      </w:r>
    </w:p>
    <w:p>
      <w:pPr>
        <w:pStyle w:val="Compact"/>
        <w:numPr>
          <w:ilvl w:val="0"/>
          <w:numId w:val="1020"/>
        </w:numPr>
      </w:pPr>
      <w:r>
        <w:rPr>
          <w:b/>
          <w:bCs/>
        </w:rPr>
        <w:t xml:space="preserve">Can net deposits remain above 20% annualized growth?</w:t>
      </w:r>
    </w:p>
    <w:p>
      <w:pPr>
        <w:pStyle w:val="Compact"/>
        <w:numPr>
          <w:ilvl w:val="0"/>
          <w:numId w:val="1020"/>
        </w:numPr>
      </w:pPr>
      <w:r>
        <w:rPr>
          <w:b/>
          <w:bCs/>
        </w:rPr>
        <w:t xml:space="preserve">Does the workforce reduction create measurable second-half operating leverage?</w:t>
      </w:r>
    </w:p>
    <w:p>
      <w:pPr>
        <w:pStyle w:val="Compact"/>
        <w:numPr>
          <w:ilvl w:val="0"/>
          <w:numId w:val="1020"/>
        </w:numPr>
      </w:pPr>
      <w:r>
        <w:rPr>
          <w:b/>
          <w:bCs/>
        </w:rPr>
        <w:t xml:space="preserve">Are Gold, banking and credit products deepening customer relationships without creating outsized credit or reward costs?</w:t>
      </w:r>
    </w:p>
    <w:p>
      <w:pPr>
        <w:pStyle w:val="Compact"/>
        <w:numPr>
          <w:ilvl w:val="0"/>
          <w:numId w:val="1020"/>
        </w:numPr>
      </w:pPr>
      <w:r>
        <w:rPr>
          <w:b/>
          <w:bCs/>
        </w:rPr>
        <w:t xml:space="preserve">Can Robinhood explain how its new $2.2 billion capital raise will generate attractive per-share returns?</w:t>
      </w:r>
    </w:p>
    <w:p>
      <w:pPr>
        <w:pStyle w:val="FirstParagraph"/>
      </w:pPr>
      <w:r>
        <w:t xml:space="preserve">A strong report would show that crypto is now one growth engine among several. A weak report would suggest Robinhood has replaced dependence on one volatile trading category with dependence on another, while allowing expenses to grow faster than underlying earnings.</w:t>
      </w:r>
    </w:p>
    <w:p>
      <w:pPr>
        <w:pStyle w:val="BodyText"/>
      </w:pPr>
      <w:r>
        <w:rPr>
          <w:i/>
          <w:iCs/>
        </w:rPr>
        <w:t xml:space="preserve">Sources reviewed: Robinhood Q1 2026 and Q2 2025 earnings materials and calls, Q1 2026 Form 10-Q, June workforce-reduction filing, convertible-note documents, Robinhood’s earnings-date announcement, recent market news and HOOD price history.</w:t>
      </w:r>
    </w:p>
    <w:bookmarkEnd w:id="31"/>
    <w:bookmarkEnd w:id="32"/>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 w:numId="1017">
    <w:abstractNumId w:val="991"/>
  </w:num>
  <w:num w:numId="1018">
    <w:abstractNumId w:val="991"/>
  </w:num>
  <w:num w:numId="1019">
    <w:abstractNumId w:val="991"/>
  </w:num>
  <w:num w:numId="1020">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2026-07-29T01:34:08Z</dcterms:created>
  <dcterms:modified xsi:type="dcterms:W3CDTF">2026-07-29T01:34:08Z</dcterms:modified>
</cp:coreProperties>
</file>

<file path=docProps/custom.xml><?xml version="1.0" encoding="utf-8"?>
<Properties xmlns="http://schemas.openxmlformats.org/officeDocument/2006/custom-properties" xmlns:vt="http://schemas.openxmlformats.org/officeDocument/2006/docPropsVTypes"/>
</file>