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robinhood-hood--2q26-earnings-preview"/>
    <w:p>
      <w:pPr>
        <w:pStyle w:val="Heading1"/>
      </w:pPr>
      <w:r>
        <w:t xml:space="preserve">Robinhood (HOOD) — 2Q26 Earnings Preview</w:t>
      </w:r>
    </w:p>
    <w:p>
      <w:pPr>
        <w:pStyle w:val="BlockText"/>
      </w:pPr>
      <w:r>
        <w:rPr>
          <w:b/>
          <w:bCs/>
        </w:rPr>
        <w:t xml:space="preserve">Timing note:</w:t>
      </w:r>
      <w:r>
        <w:t xml:space="preserve"> </w:t>
      </w:r>
      <w:r>
        <w:t xml:space="preserve">Robinhood is scheduled to report</w:t>
      </w:r>
      <w:r>
        <w:t xml:space="preserve"> </w:t>
      </w:r>
      <w:r>
        <w:rPr>
          <w:b/>
          <w:bCs/>
        </w:rPr>
        <w:t xml:space="preserve">after the market close today, Wednesday, July 29, 2026</w:t>
      </w:r>
      <w:r>
        <w:t xml:space="preserve">—not tomorrow. The earnings call is expected to follow at 5:00 p.m. ET.</w:t>
      </w:r>
    </w:p>
    <w:bookmarkStart w:id="9" w:name="bottom-line"/>
    <w:p>
      <w:pPr>
        <w:pStyle w:val="Heading2"/>
      </w:pPr>
      <w:r>
        <w:t xml:space="preserve">Bottom line</w:t>
      </w:r>
    </w:p>
    <w:p>
      <w:pPr>
        <w:pStyle w:val="FirstParagraph"/>
      </w:pPr>
      <w:r>
        <w:t xml:space="preserve">HOOD’s 2Q26 report is primarily a test of whether</w:t>
      </w:r>
      <w:r>
        <w:t xml:space="preserve"> </w:t>
      </w:r>
      <w:r>
        <w:rPr>
          <w:b/>
          <w:bCs/>
        </w:rPr>
        <w:t xml:space="preserve">exceptional activity in equities, options, margin, and prediction markets</w:t>
      </w:r>
      <w:r>
        <w:t xml:space="preserve"> </w:t>
      </w:r>
      <w:r>
        <w:t xml:space="preserve">can more than offset a weaker crypto-revenue backdrop and a step-up in investment spending.</w:t>
      </w:r>
    </w:p>
    <w:p>
      <w:pPr>
        <w:pStyle w:val="BodyText"/>
      </w:pPr>
      <w:r>
        <w:t xml:space="preserve">The consensus setup appears constructive but demanding: analysts expect roughly</w:t>
      </w:r>
      <w:r>
        <w:t xml:space="preserve"> </w:t>
      </w:r>
      <m:oMath>
        <m:r>
          <m:t>1.29</m:t>
        </m:r>
        <m:r>
          <m:t>b</m:t>
        </m:r>
        <m:r>
          <m:t>i</m:t>
        </m:r>
        <m:r>
          <m:t>l</m:t>
        </m:r>
        <m:r>
          <m:t>l</m:t>
        </m:r>
        <m:r>
          <m:t>i</m:t>
        </m:r>
        <m:r>
          <m:t>o</m:t>
        </m:r>
        <m:r>
          <m:t>n</m:t>
        </m:r>
        <m:r>
          <m:t>o</m:t>
        </m:r>
        <m:r>
          <m:t>f</m:t>
        </m:r>
        <m:r>
          <m:t>r</m:t>
        </m:r>
        <m:r>
          <m:t>e</m:t>
        </m:r>
        <m:r>
          <m:t>v</m:t>
        </m:r>
        <m:r>
          <m:t>e</m:t>
        </m:r>
        <m:r>
          <m:t>n</m:t>
        </m:r>
        <m:r>
          <m:t>u</m:t>
        </m:r>
        <m:r>
          <m:t>e</m:t>
        </m:r>
        <m:r>
          <m:rPr>
            <m:sty m:val="p"/>
          </m:rPr>
          <m:t>*</m:t>
        </m:r>
        <m:r>
          <m:rPr>
            <m:sty m:val="p"/>
          </m:rPr>
          <m:t>*</m:t>
        </m:r>
        <m:r>
          <m:t>a</m:t>
        </m:r>
        <m:r>
          <m:t>n</m:t>
        </m:r>
        <m:r>
          <m:t>d</m:t>
        </m:r>
        <m:r>
          <m:rPr>
            <m:sty m:val="p"/>
          </m:rPr>
          <m:t>*</m:t>
        </m:r>
        <m:r>
          <m:rPr>
            <m:sty m:val="p"/>
          </m:rPr>
          <m:t>*</m:t>
        </m:r>
      </m:oMath>
      <w:r>
        <w:rPr>
          <w:b/>
          <w:bCs/>
        </w:rPr>
        <w:t xml:space="preserve">0.43 of EPS</w:t>
      </w:r>
      <w:r>
        <w:t xml:space="preserve">. That implies about</w:t>
      </w:r>
      <w:r>
        <w:t xml:space="preserve"> </w:t>
      </w:r>
      <w:r>
        <w:rPr>
          <w:b/>
          <w:bCs/>
        </w:rPr>
        <w:t xml:space="preserve">30% revenue growth year over year</w:t>
      </w:r>
      <w:r>
        <w:t xml:space="preserve"> </w:t>
      </w:r>
      <w:r>
        <w:t xml:space="preserve">from 2Q25’s $989 million and a substantial sequential acceleration from 1Q26’s $1.07 billion. The debate is less about whether Robinhood is growing and more about:</w:t>
      </w:r>
    </w:p>
    <w:p>
      <w:pPr>
        <w:pStyle w:val="Compact"/>
        <w:numPr>
          <w:ilvl w:val="0"/>
          <w:numId w:val="1001"/>
        </w:numPr>
      </w:pPr>
      <w:r>
        <w:rPr>
          <w:b/>
          <w:bCs/>
        </w:rPr>
        <w:t xml:space="preserve">How large prediction-markets monetization has become;</w:t>
      </w:r>
    </w:p>
    <w:p>
      <w:pPr>
        <w:pStyle w:val="Compact"/>
        <w:numPr>
          <w:ilvl w:val="0"/>
          <w:numId w:val="1001"/>
        </w:numPr>
      </w:pPr>
      <w:r>
        <w:rPr>
          <w:b/>
          <w:bCs/>
        </w:rPr>
        <w:t xml:space="preserve">Whether elevated equity/options activity translated into transaction revenue;</w:t>
      </w:r>
    </w:p>
    <w:p>
      <w:pPr>
        <w:pStyle w:val="Compact"/>
        <w:numPr>
          <w:ilvl w:val="0"/>
          <w:numId w:val="1001"/>
        </w:numPr>
      </w:pPr>
      <w:r>
        <w:rPr>
          <w:b/>
          <w:bCs/>
        </w:rPr>
        <w:t xml:space="preserve">The durability of net deposits and Gold adoption;</w:t>
      </w:r>
    </w:p>
    <w:p>
      <w:pPr>
        <w:pStyle w:val="Compact"/>
        <w:numPr>
          <w:ilvl w:val="0"/>
          <w:numId w:val="1001"/>
        </w:numPr>
      </w:pPr>
      <w:r>
        <w:rPr>
          <w:b/>
          <w:bCs/>
        </w:rPr>
        <w:t xml:space="preserve">How much near-term margin investors should sacrifice for growth investments;</w:t>
      </w:r>
      <w:r>
        <w:t xml:space="preserve"> </w:t>
      </w:r>
      <w:r>
        <w:t xml:space="preserve">and</w:t>
      </w:r>
    </w:p>
    <w:p>
      <w:pPr>
        <w:pStyle w:val="Compact"/>
        <w:numPr>
          <w:ilvl w:val="0"/>
          <w:numId w:val="1001"/>
        </w:numPr>
      </w:pPr>
      <w:r>
        <w:rPr>
          <w:b/>
          <w:bCs/>
        </w:rPr>
        <w:t xml:space="preserve">Whether management maintains, raises, or effectively de-risks its 2026 expense framework.</w:t>
      </w:r>
    </w:p>
    <w:p>
      <w:pPr>
        <w:pStyle w:val="FirstParagraph"/>
      </w:pPr>
      <w:r>
        <w:t xml:space="preserve">The stock closed at</w:t>
      </w:r>
      <w:r>
        <w:t xml:space="preserve"> </w:t>
      </w:r>
      <w:r>
        <w:rPr>
          <w:b/>
          <w:bCs/>
        </w:rPr>
        <w:t xml:space="preserve">$92.78 on July 28</w:t>
      </w:r>
      <w:r>
        <w:t xml:space="preserve">, down about</w:t>
      </w:r>
      <w:r>
        <w:t xml:space="preserve"> </w:t>
      </w:r>
      <w:r>
        <w:rPr>
          <w:b/>
          <w:bCs/>
        </w:rPr>
        <w:t xml:space="preserve">21% from its July 6 closing high of $117.55</w:t>
      </w:r>
      <w:r>
        <w:t xml:space="preserve">. That pullback may have reduced some near-term valuation pressure, but it also reflects investor concern that crypto trading has softened and that spending, dilution, and regulatory risk are rising.</w:t>
      </w:r>
    </w:p>
    <w:p>
      <w:r>
        <w:pict>
          <v:rect style="width:0;height:1.5pt" o:hralign="center" o:hrstd="t" o:hr="t"/>
        </w:pict>
      </w:r>
    </w:p>
    <w:bookmarkEnd w:id="9"/>
    <w:bookmarkStart w:id="10" w:name="expectations-snapshot"/>
    <w:p>
      <w:pPr>
        <w:pStyle w:val="Heading2"/>
      </w:pPr>
      <w:r>
        <w:t xml:space="preserve">Expectations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2Q26 consensus / focus</w:t>
            </w:r>
          </w:p>
        </w:tc>
        <w:tc>
          <w:tcPr/>
          <w:p>
            <w:pPr>
              <w:pStyle w:val="Compact"/>
              <w:jc w:val="right"/>
            </w:pPr>
            <w:r>
              <w:t xml:space="preserve">1Q26 actual</w:t>
            </w:r>
          </w:p>
        </w:tc>
        <w:tc>
          <w:tcPr/>
          <w:p>
            <w:pPr>
              <w:pStyle w:val="Compact"/>
              <w:jc w:val="right"/>
            </w:pPr>
            <w:r>
              <w:t xml:space="preserve">2Q25 actual</w:t>
            </w:r>
          </w:p>
        </w:tc>
      </w:tr>
      <w:tr>
        <w:tc>
          <w:tcPr/>
          <w:p>
            <w:pPr>
              <w:pStyle w:val="Compact"/>
            </w:pPr>
            <w:r>
              <w:t xml:space="preserve">Total revenue</w:t>
            </w:r>
          </w:p>
        </w:tc>
        <w:tc>
          <w:tcPr/>
          <w:p>
            <w:pPr>
              <w:pStyle w:val="Compact"/>
              <w:jc w:val="right"/>
            </w:pPr>
            <w:r>
              <w:rPr>
                <w:b/>
                <w:bCs/>
              </w:rPr>
              <w:t xml:space="preserve">~$1.29B</w:t>
            </w:r>
          </w:p>
        </w:tc>
        <w:tc>
          <w:tcPr/>
          <w:p>
            <w:pPr>
              <w:pStyle w:val="Compact"/>
              <w:jc w:val="right"/>
            </w:pPr>
            <w:r>
              <w:t xml:space="preserve">$1.07B</w:t>
            </w:r>
          </w:p>
        </w:tc>
        <w:tc>
          <w:tcPr/>
          <w:p>
            <w:pPr>
              <w:pStyle w:val="Compact"/>
              <w:jc w:val="right"/>
            </w:pPr>
            <w:r>
              <w:t xml:space="preserve">$989M</w:t>
            </w:r>
          </w:p>
        </w:tc>
      </w:tr>
      <w:tr>
        <w:tc>
          <w:tcPr/>
          <w:p>
            <w:pPr>
              <w:pStyle w:val="Compact"/>
            </w:pPr>
            <w:r>
              <w:t xml:space="preserve">Diluted EPS</w:t>
            </w:r>
          </w:p>
        </w:tc>
        <w:tc>
          <w:tcPr/>
          <w:p>
            <w:pPr>
              <w:pStyle w:val="Compact"/>
              <w:jc w:val="right"/>
            </w:pPr>
            <w:r>
              <w:rPr>
                <w:b/>
                <w:bCs/>
              </w:rPr>
              <w:t xml:space="preserve">~$0.43</w:t>
            </w:r>
          </w:p>
        </w:tc>
        <w:tc>
          <w:tcPr/>
          <w:p>
            <w:pPr>
              <w:pStyle w:val="Compact"/>
              <w:jc w:val="right"/>
            </w:pPr>
            <w:r>
              <w:t xml:space="preserve">$0.38</w:t>
            </w:r>
          </w:p>
        </w:tc>
        <w:tc>
          <w:tcPr/>
          <w:p>
            <w:pPr>
              <w:pStyle w:val="Compact"/>
              <w:jc w:val="right"/>
            </w:pPr>
            <w:r>
              <w:t xml:space="preserve">$0.42</w:t>
            </w:r>
          </w:p>
        </w:tc>
      </w:tr>
      <w:tr>
        <w:tc>
          <w:tcPr/>
          <w:p>
            <w:pPr>
              <w:pStyle w:val="Compact"/>
            </w:pPr>
            <w:r>
              <w:t xml:space="preserve">Operating expenses</w:t>
            </w:r>
          </w:p>
        </w:tc>
        <w:tc>
          <w:tcPr/>
          <w:p>
            <w:pPr>
              <w:pStyle w:val="Compact"/>
              <w:jc w:val="right"/>
            </w:pPr>
            <w:r>
              <w:rPr>
                <w:b/>
                <w:bCs/>
              </w:rPr>
              <w:t xml:space="preserve">~$777M</w:t>
            </w:r>
          </w:p>
        </w:tc>
        <w:tc>
          <w:tcPr/>
          <w:p>
            <w:pPr>
              <w:pStyle w:val="Compact"/>
              <w:jc w:val="right"/>
            </w:pPr>
            <w:r>
              <w:t xml:space="preserve">$656M</w:t>
            </w:r>
          </w:p>
        </w:tc>
        <w:tc>
          <w:tcPr/>
          <w:p>
            <w:pPr>
              <w:pStyle w:val="Compact"/>
              <w:jc w:val="right"/>
            </w:pPr>
            <w:r>
              <w:t xml:space="preserve">$550M</w:t>
            </w:r>
          </w:p>
        </w:tc>
      </w:tr>
      <w:tr>
        <w:tc>
          <w:tcPr/>
          <w:p>
            <w:pPr>
              <w:pStyle w:val="Compact"/>
            </w:pPr>
            <w:r>
              <w:t xml:space="preserve">Crypto transaction revenue</w:t>
            </w:r>
          </w:p>
        </w:tc>
        <w:tc>
          <w:tcPr/>
          <w:p>
            <w:pPr>
              <w:pStyle w:val="Compact"/>
              <w:jc w:val="right"/>
            </w:pPr>
            <w:r>
              <w:rPr>
                <w:b/>
                <w:bCs/>
              </w:rPr>
              <w:t xml:space="preserve">~$88M</w:t>
            </w:r>
          </w:p>
        </w:tc>
        <w:tc>
          <w:tcPr/>
          <w:p>
            <w:pPr>
              <w:pStyle w:val="Compact"/>
              <w:jc w:val="right"/>
            </w:pPr>
            <w:r>
              <w:t xml:space="preserve">$134M</w:t>
            </w:r>
          </w:p>
        </w:tc>
        <w:tc>
          <w:tcPr/>
          <w:p>
            <w:pPr>
              <w:pStyle w:val="Compact"/>
              <w:jc w:val="right"/>
            </w:pPr>
            <w:r>
              <w:t xml:space="preserve">$160M</w:t>
            </w:r>
          </w:p>
        </w:tc>
      </w:tr>
      <w:tr>
        <w:tc>
          <w:tcPr/>
          <w:p>
            <w:pPr>
              <w:pStyle w:val="Compact"/>
            </w:pPr>
            <w:r>
              <w:t xml:space="preserve">Net deposits</w:t>
            </w:r>
          </w:p>
        </w:tc>
        <w:tc>
          <w:tcPr/>
          <w:p>
            <w:pPr>
              <w:pStyle w:val="Compact"/>
              <w:jc w:val="right"/>
            </w:pPr>
            <w:r>
              <w:t xml:space="preserve">Key KPI; no consensus cited</w:t>
            </w:r>
          </w:p>
        </w:tc>
        <w:tc>
          <w:tcPr/>
          <w:p>
            <w:pPr>
              <w:pStyle w:val="Compact"/>
              <w:jc w:val="right"/>
            </w:pPr>
            <w:r>
              <w:t xml:space="preserve">$17.7B</w:t>
            </w:r>
          </w:p>
        </w:tc>
        <w:tc>
          <w:tcPr/>
          <w:p>
            <w:pPr>
              <w:pStyle w:val="Compact"/>
              <w:jc w:val="right"/>
            </w:pPr>
            <w:r>
              <w:t xml:space="preserve">$13.8B</w:t>
            </w:r>
          </w:p>
        </w:tc>
      </w:tr>
      <w:tr>
        <w:tc>
          <w:tcPr/>
          <w:p>
            <w:pPr>
              <w:pStyle w:val="Compact"/>
            </w:pPr>
            <w:r>
              <w:t xml:space="preserve">Gold subscribers</w:t>
            </w:r>
          </w:p>
        </w:tc>
        <w:tc>
          <w:tcPr/>
          <w:p>
            <w:pPr>
              <w:pStyle w:val="Compact"/>
              <w:jc w:val="right"/>
            </w:pPr>
            <w:r>
              <w:t xml:space="preserve">Key KPI</w:t>
            </w:r>
          </w:p>
        </w:tc>
        <w:tc>
          <w:tcPr/>
          <w:p>
            <w:pPr>
              <w:pStyle w:val="Compact"/>
              <w:jc w:val="right"/>
            </w:pPr>
            <w:r>
              <w:t xml:space="preserve">4.3M</w:t>
            </w:r>
          </w:p>
        </w:tc>
        <w:tc>
          <w:tcPr/>
          <w:p>
            <w:pPr>
              <w:pStyle w:val="Compact"/>
              <w:jc w:val="right"/>
            </w:pPr>
            <w:r>
              <w:t xml:space="preserve">3.5M</w:t>
            </w:r>
          </w:p>
        </w:tc>
      </w:tr>
      <w:tr>
        <w:tc>
          <w:tcPr/>
          <w:p>
            <w:pPr>
              <w:pStyle w:val="Compact"/>
            </w:pPr>
            <w:r>
              <w:t xml:space="preserve">Total platform assets</w:t>
            </w:r>
          </w:p>
        </w:tc>
        <w:tc>
          <w:tcPr/>
          <w:p>
            <w:pPr>
              <w:pStyle w:val="Compact"/>
              <w:jc w:val="right"/>
            </w:pPr>
            <w:r>
              <w:t xml:space="preserve">Key KPI</w:t>
            </w:r>
          </w:p>
        </w:tc>
        <w:tc>
          <w:tcPr/>
          <w:p>
            <w:pPr>
              <w:pStyle w:val="Compact"/>
              <w:jc w:val="right"/>
            </w:pPr>
            <w:r>
              <w:t xml:space="preserve">$307B</w:t>
            </w:r>
          </w:p>
        </w:tc>
        <w:tc>
          <w:tcPr/>
          <w:p>
            <w:pPr>
              <w:pStyle w:val="Compact"/>
              <w:jc w:val="right"/>
            </w:pPr>
            <w:r>
              <w:t xml:space="preserve">$279B</w:t>
            </w:r>
          </w:p>
        </w:tc>
      </w:tr>
    </w:tbl>
    <w:p>
      <w:pPr>
        <w:pStyle w:val="BodyText"/>
      </w:pPr>
      <w:r>
        <w:rPr>
          <w:i/>
          <w:iCs/>
        </w:rPr>
        <w:t xml:space="preserve">Consensus figures reflect the latest pre-report market commentary; the other figures are company-reported.</w:t>
      </w:r>
    </w:p>
    <w:p>
      <w:r>
        <w:pict>
          <v:rect style="width:0;height:1.5pt" o:hralign="center" o:hrstd="t" o:hr="t"/>
        </w:pict>
      </w:r>
    </w:p>
    <w:bookmarkEnd w:id="10"/>
    <w:bookmarkStart w:id="14" w:name="X417d836888683dda83068e6a0240d68f7aa73d2"/>
    <w:p>
      <w:pPr>
        <w:pStyle w:val="Heading2"/>
      </w:pPr>
      <w:r>
        <w:t xml:space="preserve">The central earnings question: can non-crypto activity carry the quarter?</w:t>
      </w:r>
    </w:p>
    <w:bookmarkStart w:id="11" w:name="X18ad8ca1a81809594c37eca904a18290f69ec18"/>
    <w:p>
      <w:pPr>
        <w:pStyle w:val="Heading3"/>
      </w:pPr>
      <w:r>
        <w:t xml:space="preserve">1. Prediction markets are the potential upside variable</w:t>
      </w:r>
    </w:p>
    <w:p>
      <w:pPr>
        <w:pStyle w:val="FirstParagraph"/>
      </w:pPr>
      <w:r>
        <w:t xml:space="preserve">Prediction markets have become the most important incremental revenue question for HOOD. In 1Q26, Robinhood reported a record</w:t>
      </w:r>
      <w:r>
        <w:t xml:space="preserve"> </w:t>
      </w:r>
      <w:r>
        <w:rPr>
          <w:b/>
          <w:bCs/>
        </w:rPr>
        <w:t xml:space="preserve">8.8 billion event contracts traded</w:t>
      </w:r>
      <w:r>
        <w:t xml:space="preserve">, and management said April prediction-market volume was on pace for roughly</w:t>
      </w:r>
      <w:r>
        <w:t xml:space="preserve"> </w:t>
      </w:r>
      <w:r>
        <w:rPr>
          <w:b/>
          <w:bCs/>
        </w:rPr>
        <w:t xml:space="preserve">$3 billion</w:t>
      </w:r>
      <w:r>
        <w:t xml:space="preserve">, potentially its second-best month ever.</w:t>
      </w:r>
    </w:p>
    <w:p>
      <w:pPr>
        <w:pStyle w:val="BodyText"/>
      </w:pPr>
      <w:r>
        <w:t xml:space="preserve">More importantly, activity appears to have remained strong into June: when announcing its June workforce reduction, Robinhood said month-to-date average daily trading volumes had reached records across</w:t>
      </w:r>
      <w:r>
        <w:t xml:space="preserve"> </w:t>
      </w:r>
      <w:r>
        <w:rPr>
          <w:b/>
          <w:bCs/>
        </w:rPr>
        <w:t xml:space="preserve">equities, options, and prediction markets</w:t>
      </w:r>
      <w:r>
        <w:t xml:space="preserve">.</w:t>
      </w:r>
    </w:p>
    <w:p>
      <w:pPr>
        <w:pStyle w:val="BodyText"/>
      </w:pPr>
      <w:r>
        <w:t xml:space="preserve">Investors should focus on more than headline contract volume:</w:t>
      </w:r>
    </w:p>
    <w:p>
      <w:pPr>
        <w:pStyle w:val="Compact"/>
        <w:numPr>
          <w:ilvl w:val="0"/>
          <w:numId w:val="1002"/>
        </w:numPr>
      </w:pPr>
      <w:r>
        <w:t xml:space="preserve">What was the</w:t>
      </w:r>
      <w:r>
        <w:t xml:space="preserve"> </w:t>
      </w:r>
      <w:r>
        <w:rPr>
          <w:b/>
          <w:bCs/>
        </w:rPr>
        <w:t xml:space="preserve">revenue contribution</w:t>
      </w:r>
      <w:r>
        <w:t xml:space="preserve"> </w:t>
      </w:r>
      <w:r>
        <w:t xml:space="preserve">from event contracts?</w:t>
      </w:r>
    </w:p>
    <w:p>
      <w:pPr>
        <w:pStyle w:val="Compact"/>
        <w:numPr>
          <w:ilvl w:val="0"/>
          <w:numId w:val="1002"/>
        </w:numPr>
      </w:pPr>
      <w:r>
        <w:t xml:space="preserve">Did Robinhood’s economics improve as it moved toward greater vertical integration through its Rothera joint venture with Susquehanna?</w:t>
      </w:r>
    </w:p>
    <w:p>
      <w:pPr>
        <w:pStyle w:val="Compact"/>
        <w:numPr>
          <w:ilvl w:val="0"/>
          <w:numId w:val="1002"/>
        </w:numPr>
      </w:pPr>
      <w:r>
        <w:t xml:space="preserve">Is activity broadening beyond short-lived, event-specific bursts?</w:t>
      </w:r>
    </w:p>
    <w:p>
      <w:pPr>
        <w:pStyle w:val="Compact"/>
        <w:numPr>
          <w:ilvl w:val="0"/>
          <w:numId w:val="1002"/>
        </w:numPr>
      </w:pPr>
      <w:r>
        <w:t xml:space="preserve">What is management’s outlook for 3Q, particularly given reports that HOOD is discussing additional prediction-market supply relationships?</w:t>
      </w:r>
    </w:p>
    <w:p>
      <w:pPr>
        <w:pStyle w:val="FirstParagraph"/>
      </w:pPr>
      <w:r>
        <w:t xml:space="preserve">A material upside surprise in prediction-market revenue could change the market’s view of Robinhood’s earnings mix: from a crypto- and options-sensitive brokerage to a broader active-trader platform with another high-growth transaction category.</w:t>
      </w:r>
    </w:p>
    <w:bookmarkEnd w:id="11"/>
    <w:bookmarkStart w:id="12" w:name="Xc6c2df7182feae0f75a92ecac5cd3b5e76ec0d7"/>
    <w:p>
      <w:pPr>
        <w:pStyle w:val="Heading3"/>
      </w:pPr>
      <w:r>
        <w:t xml:space="preserve">2. Equities, options, and margin should be strong</w:t>
      </w:r>
    </w:p>
    <w:p>
      <w:pPr>
        <w:pStyle w:val="FirstParagraph"/>
      </w:pPr>
      <w:r>
        <w:t xml:space="preserve">Management’s 1Q call set up a favorable activity backdrop. April equity and options volumes were tracking toward the company’s highest month of the year and second highest month in its history. June commentary subsequently pointed to record average daily volumes across those same categories.</w:t>
      </w:r>
    </w:p>
    <w:p>
      <w:pPr>
        <w:pStyle w:val="BodyText"/>
      </w:pPr>
      <w:r>
        <w:t xml:space="preserve">That should support:</w:t>
      </w:r>
    </w:p>
    <w:p>
      <w:pPr>
        <w:pStyle w:val="Compact"/>
        <w:numPr>
          <w:ilvl w:val="0"/>
          <w:numId w:val="1003"/>
        </w:numPr>
      </w:pPr>
      <w:r>
        <w:rPr>
          <w:b/>
          <w:bCs/>
        </w:rPr>
        <w:t xml:space="preserve">Equity transaction revenue</w:t>
      </w:r>
      <w:r>
        <w:t xml:space="preserve">, which rose 46% year over year in 1Q26;</w:t>
      </w:r>
    </w:p>
    <w:p>
      <w:pPr>
        <w:pStyle w:val="Compact"/>
        <w:numPr>
          <w:ilvl w:val="0"/>
          <w:numId w:val="1003"/>
        </w:numPr>
      </w:pPr>
      <w:r>
        <w:rPr>
          <w:b/>
          <w:bCs/>
        </w:rPr>
        <w:t xml:space="preserve">Options revenue</w:t>
      </w:r>
      <w:r>
        <w:t xml:space="preserve">, which was $260 million in 1Q26; and</w:t>
      </w:r>
    </w:p>
    <w:p>
      <w:pPr>
        <w:pStyle w:val="Compact"/>
        <w:numPr>
          <w:ilvl w:val="0"/>
          <w:numId w:val="1003"/>
        </w:numPr>
      </w:pPr>
      <w:r>
        <w:rPr>
          <w:b/>
          <w:bCs/>
        </w:rPr>
        <w:t xml:space="preserve">Margin-related interest income</w:t>
      </w:r>
      <w:r>
        <w:t xml:space="preserve">, given the margin book reached a record</w:t>
      </w:r>
      <w:r>
        <w:t xml:space="preserve"> </w:t>
      </w:r>
      <w:r>
        <w:rPr>
          <w:b/>
          <w:bCs/>
        </w:rPr>
        <w:t xml:space="preserve">$17.0 billion</w:t>
      </w:r>
      <w:r>
        <w:t xml:space="preserve"> </w:t>
      </w:r>
      <w:r>
        <w:t xml:space="preserve">at March 31, up 93% year over year.</w:t>
      </w:r>
    </w:p>
    <w:p>
      <w:pPr>
        <w:pStyle w:val="FirstParagraph"/>
      </w:pPr>
      <w:r>
        <w:t xml:space="preserve">The caveat is pricing. Management noted in 1Q that options and crypto take rates can decline as more active traders qualify for lower-volume pricing tiers. Thus, investors should not assume that strong notional volumes translate dollar-for-dollar into revenue upside. The key is the balance between volume growth and take-rate compression.</w:t>
      </w:r>
    </w:p>
    <w:bookmarkEnd w:id="12"/>
    <w:bookmarkStart w:id="13" w:name="X09a008792fe782e9b9e5d9ed49459645fa39ad0"/>
    <w:p>
      <w:pPr>
        <w:pStyle w:val="Heading3"/>
      </w:pPr>
      <w:r>
        <w:t xml:space="preserve">3. Crypto is likely a drag—but perhaps a manageable one</w:t>
      </w:r>
    </w:p>
    <w:p>
      <w:pPr>
        <w:pStyle w:val="FirstParagraph"/>
      </w:pPr>
      <w:r>
        <w:t xml:space="preserve">Consensus crypto transaction revenue of approximately</w:t>
      </w:r>
      <w:r>
        <w:t xml:space="preserve"> </w:t>
      </w:r>
      <m:oMath>
        <m:r>
          <m:t>87.6</m:t>
        </m:r>
        <m:r>
          <m:t>m</m:t>
        </m:r>
        <m:r>
          <m:t>i</m:t>
        </m:r>
        <m:r>
          <m:t>l</m:t>
        </m:r>
        <m:r>
          <m:t>l</m:t>
        </m:r>
        <m:r>
          <m:t>i</m:t>
        </m:r>
        <m:r>
          <m:t>o</m:t>
        </m:r>
        <m:r>
          <m:t>n</m:t>
        </m:r>
        <m:r>
          <m:rPr>
            <m:sty m:val="p"/>
          </m:rPr>
          <m:t>*</m:t>
        </m:r>
        <m:r>
          <m:rPr>
            <m:sty m:val="p"/>
          </m:rPr>
          <m:t>*</m:t>
        </m:r>
        <m:r>
          <m:t>w</m:t>
        </m:r>
        <m:r>
          <m:t>o</m:t>
        </m:r>
        <m:r>
          <m:t>u</m:t>
        </m:r>
        <m:r>
          <m:t>l</m:t>
        </m:r>
        <m:r>
          <m:t>d</m:t>
        </m:r>
        <m:r>
          <m:t>i</m:t>
        </m:r>
        <m:r>
          <m:t>m</m:t>
        </m:r>
        <m:r>
          <m:t>p</m:t>
        </m:r>
        <m:r>
          <m:t>l</m:t>
        </m:r>
        <m:r>
          <m:t>y</m:t>
        </m:r>
        <m:r>
          <m:t>a</m:t>
        </m:r>
        <m:r>
          <m:t>l</m:t>
        </m:r>
        <m:r>
          <m:t>a</m:t>
        </m:r>
        <m:r>
          <m:t>r</m:t>
        </m:r>
        <m:r>
          <m:t>g</m:t>
        </m:r>
        <m:r>
          <m:t>e</m:t>
        </m:r>
        <m:r>
          <m:t>d</m:t>
        </m:r>
        <m:r>
          <m:t>e</m:t>
        </m:r>
        <m:r>
          <m:t>c</m:t>
        </m:r>
        <m:r>
          <m:t>l</m:t>
        </m:r>
        <m:r>
          <m:t>i</m:t>
        </m:r>
        <m:r>
          <m:t>n</m:t>
        </m:r>
        <m:r>
          <m:t>e</m:t>
        </m:r>
        <m:r>
          <m:t>f</m:t>
        </m:r>
        <m:r>
          <m:t>r</m:t>
        </m:r>
        <m:r>
          <m:t>o</m:t>
        </m:r>
        <m:r>
          <m:t>m</m:t>
        </m:r>
        <m:r>
          <m:rPr>
            <m:sty m:val="p"/>
          </m:rPr>
          <m:t>*</m:t>
        </m:r>
        <m:r>
          <m:rPr>
            <m:sty m:val="p"/>
          </m:rPr>
          <m:t>*</m:t>
        </m:r>
      </m:oMath>
      <w:r>
        <w:rPr>
          <w:b/>
          <w:bCs/>
        </w:rPr>
        <w:t xml:space="preserve">160 million in 2Q25</w:t>
      </w:r>
      <w:r>
        <w:t xml:space="preserve"> </w:t>
      </w:r>
      <w:r>
        <w:t xml:space="preserve">and from</w:t>
      </w:r>
      <w:r>
        <w:t xml:space="preserve"> </w:t>
      </w:r>
      <w:r>
        <w:rPr>
          <w:b/>
          <w:bCs/>
        </w:rPr>
        <w:t xml:space="preserve">$134 million in 1Q26</w:t>
      </w:r>
      <w:r>
        <w:t xml:space="preserve">. Robinhood itself characterized April crypto activity as broadly similar to 1Q levels while emphasizing stronger equities, options, and prediction markets.</w:t>
      </w:r>
    </w:p>
    <w:p>
      <w:pPr>
        <w:pStyle w:val="BodyText"/>
      </w:pPr>
      <w:r>
        <w:t xml:space="preserve">A soft crypto print is therefore well anticipated. The more important issue is whether:</w:t>
      </w:r>
    </w:p>
    <w:p>
      <w:pPr>
        <w:pStyle w:val="Compact"/>
        <w:numPr>
          <w:ilvl w:val="0"/>
          <w:numId w:val="1004"/>
        </w:numPr>
      </w:pPr>
      <w:r>
        <w:t xml:space="preserve">Crypto is merely cyclical and offset by other asset classes;</w:t>
      </w:r>
    </w:p>
    <w:p>
      <w:pPr>
        <w:pStyle w:val="Compact"/>
        <w:numPr>
          <w:ilvl w:val="0"/>
          <w:numId w:val="1004"/>
        </w:numPr>
      </w:pPr>
      <w:r>
        <w:t xml:space="preserve">Bitstamp’s institutional business is adding enough resilience; and</w:t>
      </w:r>
    </w:p>
    <w:p>
      <w:pPr>
        <w:pStyle w:val="Compact"/>
        <w:numPr>
          <w:ilvl w:val="0"/>
          <w:numId w:val="1004"/>
        </w:numPr>
      </w:pPr>
      <w:r>
        <w:t xml:space="preserve">Robinhood can demonstrate that tokenization, perpetuals outside the U.S., and institutional lending offer longer-duration growth beyond retail spot crypto volumes.</w:t>
      </w:r>
    </w:p>
    <w:p>
      <w:pPr>
        <w:pStyle w:val="FirstParagraph"/>
      </w:pPr>
      <w:r>
        <w:t xml:space="preserve">A better-than-feared crypto result would help, but HOOD no longer needs crypto to carry the business the way it once did. The quarter may show whether that diversification is real.</w:t>
      </w:r>
    </w:p>
    <w:p>
      <w:r>
        <w:pict>
          <v:rect style="width:0;height:1.5pt" o:hralign="center" o:hrstd="t" o:hr="t"/>
        </w:pict>
      </w:r>
    </w:p>
    <w:bookmarkEnd w:id="13"/>
    <w:bookmarkEnd w:id="14"/>
    <w:bookmarkStart w:id="15" w:name="X0197775e1b9a207109da17ee76108f92e01620d"/>
    <w:p>
      <w:pPr>
        <w:pStyle w:val="Heading2"/>
      </w:pPr>
      <w:r>
        <w:t xml:space="preserve">Net deposits remain the highest-quality KPI</w:t>
      </w:r>
    </w:p>
    <w:p>
      <w:pPr>
        <w:pStyle w:val="FirstParagraph"/>
      </w:pPr>
      <w:r>
        <w:t xml:space="preserve">Robinhood calls net deposits its “North Star” metric, and rightly so. In 1Q26 it produced</w:t>
      </w:r>
      <w:r>
        <w:t xml:space="preserve"> </w:t>
      </w:r>
      <w:r>
        <w:rPr>
          <w:b/>
          <w:bCs/>
        </w:rPr>
        <w:t xml:space="preserve">$17.7 billion of net deposits</w:t>
      </w:r>
      <w:r>
        <w:t xml:space="preserve">, equivalent to a</w:t>
      </w:r>
      <w:r>
        <w:t xml:space="preserve"> </w:t>
      </w:r>
      <w:r>
        <w:rPr>
          <w:b/>
          <w:bCs/>
        </w:rPr>
        <w:t xml:space="preserve">22% annualized growth rate</w:t>
      </w:r>
      <w:r>
        <w:t xml:space="preserve">, after</w:t>
      </w:r>
      <w:r>
        <w:t xml:space="preserve"> </w:t>
      </w:r>
      <m:oMath>
        <m:r>
          <m:t>67.8</m:t>
        </m:r>
        <m:r>
          <m:t>b</m:t>
        </m:r>
        <m:r>
          <m:t>i</m:t>
        </m:r>
        <m:r>
          <m:t>l</m:t>
        </m:r>
        <m:r>
          <m:t>l</m:t>
        </m:r>
        <m:r>
          <m:t>i</m:t>
        </m:r>
        <m:r>
          <m:t>o</m:t>
        </m:r>
        <m:r>
          <m:t>n</m:t>
        </m:r>
        <m:r>
          <m:t>o</m:t>
        </m:r>
        <m:r>
          <m:t>v</m:t>
        </m:r>
        <m:r>
          <m:t>e</m:t>
        </m:r>
        <m:r>
          <m:t>r</m:t>
        </m:r>
        <m:r>
          <m:t>t</m:t>
        </m:r>
        <m:r>
          <m:t>h</m:t>
        </m:r>
        <m:r>
          <m:t>e</m:t>
        </m:r>
        <m:r>
          <m:t>p</m:t>
        </m:r>
        <m:r>
          <m:t>r</m:t>
        </m:r>
        <m:r>
          <m:t>i</m:t>
        </m:r>
        <m:r>
          <m:t>o</m:t>
        </m:r>
        <m:r>
          <m:t>r</m:t>
        </m:r>
        <m:r>
          <m:t>12</m:t>
        </m:r>
        <m:r>
          <m:t>m</m:t>
        </m:r>
        <m:r>
          <m:t>o</m:t>
        </m:r>
        <m:r>
          <m:t>n</m:t>
        </m:r>
        <m:r>
          <m:t>t</m:t>
        </m:r>
        <m:r>
          <m:t>h</m:t>
        </m:r>
        <m:r>
          <m:t>s</m:t>
        </m:r>
        <m:r>
          <m:rPr>
            <m:sty m:val="p"/>
          </m:rPr>
          <m:t>.</m:t>
        </m:r>
        <m:r>
          <m:t>M</m:t>
        </m:r>
        <m:r>
          <m:t>a</m:t>
        </m:r>
        <m:r>
          <m:t>n</m:t>
        </m:r>
        <m:r>
          <m:t>a</m:t>
        </m:r>
        <m:r>
          <m:t>g</m:t>
        </m:r>
        <m:r>
          <m:t>e</m:t>
        </m:r>
        <m:r>
          <m:t>m</m:t>
        </m:r>
        <m:r>
          <m:t>e</m:t>
        </m:r>
        <m:r>
          <m:t>n</m:t>
        </m:r>
        <m:r>
          <m:t>t</m:t>
        </m:r>
        <m:r>
          <m:t>a</m:t>
        </m:r>
        <m:r>
          <m:t>l</m:t>
        </m:r>
        <m:r>
          <m:t>s</m:t>
        </m:r>
        <m:r>
          <m:t>o</m:t>
        </m:r>
        <m:r>
          <m:t>d</m:t>
        </m:r>
        <m:r>
          <m:t>i</m:t>
        </m:r>
        <m:r>
          <m:t>s</m:t>
        </m:r>
        <m:r>
          <m:t>c</m:t>
        </m:r>
        <m:r>
          <m:t>l</m:t>
        </m:r>
        <m:r>
          <m:t>o</m:t>
        </m:r>
        <m:r>
          <m:t>s</m:t>
        </m:r>
        <m:r>
          <m:t>e</m:t>
        </m:r>
        <m:r>
          <m:t>d</m:t>
        </m:r>
        <m:r>
          <m:t>a</m:t>
        </m:r>
        <m:r>
          <m:t>p</m:t>
        </m:r>
        <m:r>
          <m:t>p</m:t>
        </m:r>
        <m:r>
          <m:t>r</m:t>
        </m:r>
        <m:r>
          <m:t>o</m:t>
        </m:r>
        <m:r>
          <m:t>x</m:t>
        </m:r>
        <m:r>
          <m:t>i</m:t>
        </m:r>
        <m:r>
          <m:t>m</m:t>
        </m:r>
        <m:r>
          <m:t>a</m:t>
        </m:r>
        <m:r>
          <m:t>t</m:t>
        </m:r>
        <m:r>
          <m:t>e</m:t>
        </m:r>
        <m:r>
          <m:t>l</m:t>
        </m:r>
        <m:r>
          <m:t>y</m:t>
        </m:r>
        <m:r>
          <m:rPr>
            <m:sty m:val="p"/>
          </m:rPr>
          <m:t>*</m:t>
        </m:r>
        <m:r>
          <m:rPr>
            <m:sty m:val="p"/>
          </m:rPr>
          <m:t>*</m:t>
        </m:r>
      </m:oMath>
      <w:r>
        <w:t xml:space="preserve">5 billion of net deposits in April alone**, despite tax season.</w:t>
      </w:r>
    </w:p>
    <w:p>
      <w:pPr>
        <w:pStyle w:val="BodyText"/>
      </w:pPr>
      <w:r>
        <w:t xml:space="preserve">For the 2Q report, the most consequential operating outcome may be whether Robinhood can sustain deposit growth near—or above—the 20% annualized range. Strong deposits matter because they:</w:t>
      </w:r>
    </w:p>
    <w:p>
      <w:pPr>
        <w:pStyle w:val="Compact"/>
        <w:numPr>
          <w:ilvl w:val="0"/>
          <w:numId w:val="1005"/>
        </w:numPr>
      </w:pPr>
      <w:r>
        <w:t xml:space="preserve">Grow platform assets and future interest-earning balances;</w:t>
      </w:r>
    </w:p>
    <w:p>
      <w:pPr>
        <w:pStyle w:val="Compact"/>
        <w:numPr>
          <w:ilvl w:val="0"/>
          <w:numId w:val="1005"/>
        </w:numPr>
      </w:pPr>
      <w:r>
        <w:t xml:space="preserve">Support cross-selling into Gold, retirement, banking, credit, advisory, and margin;</w:t>
      </w:r>
    </w:p>
    <w:p>
      <w:pPr>
        <w:pStyle w:val="Compact"/>
        <w:numPr>
          <w:ilvl w:val="0"/>
          <w:numId w:val="1005"/>
        </w:numPr>
      </w:pPr>
      <w:r>
        <w:t xml:space="preserve">Reduce dependence on volatile transaction revenue; and</w:t>
      </w:r>
    </w:p>
    <w:p>
      <w:pPr>
        <w:pStyle w:val="Compact"/>
        <w:numPr>
          <w:ilvl w:val="0"/>
          <w:numId w:val="1005"/>
        </w:numPr>
      </w:pPr>
      <w:r>
        <w:t xml:space="preserve">Validate Robinhood’s progression toward becoming a primary financial relationship rather than a trading-only app.</w:t>
      </w:r>
    </w:p>
    <w:p>
      <w:pPr>
        <w:pStyle w:val="FirstParagraph"/>
      </w:pPr>
      <w:r>
        <w:t xml:space="preserve">The quality of deposits also matters. Investors should listen for mix commentary across retirement, brokerage, Gold cash, banking, and higher-value active-trader accounts.</w:t>
      </w:r>
    </w:p>
    <w:p>
      <w:r>
        <w:pict>
          <v:rect style="width:0;height:1.5pt" o:hralign="center" o:hrstd="t" o:hr="t"/>
        </w:pict>
      </w:r>
    </w:p>
    <w:bookmarkEnd w:id="15"/>
    <w:bookmarkStart w:id="16" w:name="X9637634138d71ea63bf84761de85399d08ce8a5"/>
    <w:p>
      <w:pPr>
        <w:pStyle w:val="Heading2"/>
      </w:pPr>
      <w:r>
        <w:t xml:space="preserve">Gold, banking, credit, and retirement: the quieter compounding story</w:t>
      </w:r>
    </w:p>
    <w:p>
      <w:pPr>
        <w:pStyle w:val="FirstParagraph"/>
      </w:pPr>
      <w:r>
        <w:t xml:space="preserve">The longer-term bull case is increasingly based on wallet share rather than only trading volumes.</w:t>
      </w:r>
    </w:p>
    <w:p>
      <w:pPr>
        <w:pStyle w:val="BodyText"/>
      </w:pPr>
      <w:r>
        <w:t xml:space="preserve">At the end of 1Q26, Robinhood had:</w:t>
      </w:r>
    </w:p>
    <w:p>
      <w:pPr>
        <w:pStyle w:val="Compact"/>
        <w:numPr>
          <w:ilvl w:val="0"/>
          <w:numId w:val="1006"/>
        </w:numPr>
      </w:pPr>
      <w:r>
        <w:rPr>
          <w:b/>
          <w:bCs/>
        </w:rPr>
        <w:t xml:space="preserve">4.3 million Gold subscribers</w:t>
      </w:r>
      <w:r>
        <w:t xml:space="preserve">, up 36% year over year;</w:t>
      </w:r>
    </w:p>
    <w:p>
      <w:pPr>
        <w:pStyle w:val="Compact"/>
        <w:numPr>
          <w:ilvl w:val="0"/>
          <w:numId w:val="1006"/>
        </w:numPr>
      </w:pPr>
      <w:r>
        <w:rPr>
          <w:b/>
          <w:bCs/>
        </w:rPr>
        <w:t xml:space="preserve">27.4 million funded customers</w:t>
      </w:r>
      <w:r>
        <w:t xml:space="preserve">;</w:t>
      </w:r>
    </w:p>
    <w:p>
      <w:pPr>
        <w:pStyle w:val="Compact"/>
        <w:numPr>
          <w:ilvl w:val="0"/>
          <w:numId w:val="1006"/>
        </w:numPr>
      </w:pPr>
      <w:r>
        <w:rPr>
          <w:b/>
          <w:bCs/>
        </w:rPr>
        <w:t xml:space="preserve">$27.4 billion</w:t>
      </w:r>
      <w:r>
        <w:t xml:space="preserve"> </w:t>
      </w:r>
      <w:r>
        <w:t xml:space="preserve">of retirement assets under custody;</w:t>
      </w:r>
    </w:p>
    <w:p>
      <w:pPr>
        <w:pStyle w:val="Compact"/>
        <w:numPr>
          <w:ilvl w:val="0"/>
          <w:numId w:val="1006"/>
        </w:numPr>
      </w:pPr>
      <w:r>
        <w:t xml:space="preserve">More than</w:t>
      </w:r>
      <w:r>
        <w:t xml:space="preserve"> </w:t>
      </w:r>
      <w:r>
        <w:rPr>
          <w:b/>
          <w:bCs/>
        </w:rPr>
        <w:t xml:space="preserve">$2 billion</w:t>
      </w:r>
      <w:r>
        <w:t xml:space="preserve"> </w:t>
      </w:r>
      <w:r>
        <w:t xml:space="preserve">of banking deposits;</w:t>
      </w:r>
    </w:p>
    <w:p>
      <w:pPr>
        <w:pStyle w:val="Compact"/>
        <w:numPr>
          <w:ilvl w:val="0"/>
          <w:numId w:val="1006"/>
        </w:numPr>
      </w:pPr>
      <w:r>
        <w:t xml:space="preserve">More than</w:t>
      </w:r>
      <w:r>
        <w:t xml:space="preserve"> </w:t>
      </w:r>
      <w:r>
        <w:rPr>
          <w:b/>
          <w:bCs/>
        </w:rPr>
        <w:t xml:space="preserve">800,000 Gold Card customers</w:t>
      </w:r>
      <w:r>
        <w:t xml:space="preserve">; and</w:t>
      </w:r>
    </w:p>
    <w:p>
      <w:pPr>
        <w:pStyle w:val="Compact"/>
        <w:numPr>
          <w:ilvl w:val="0"/>
          <w:numId w:val="1006"/>
        </w:numPr>
      </w:pPr>
      <w:r>
        <w:t xml:space="preserve">A Gold Card annualized purchase volume run rate of approximately</w:t>
      </w:r>
      <w:r>
        <w:t xml:space="preserve"> </w:t>
      </w:r>
      <w:r>
        <w:rPr>
          <w:b/>
          <w:bCs/>
        </w:rPr>
        <w:t xml:space="preserve">$15 billion</w:t>
      </w:r>
      <w:r>
        <w:t xml:space="preserve">.</w:t>
      </w:r>
    </w:p>
    <w:p>
      <w:pPr>
        <w:pStyle w:val="FirstParagraph"/>
      </w:pPr>
      <w:r>
        <w:t xml:space="preserve">These products can make revenue more recurring and reduce cyclicality. The earnings report should show whether Gold subscriber growth remains robust, whether ARPU improves from the 1Q level of</w:t>
      </w:r>
      <w:r>
        <w:t xml:space="preserve"> </w:t>
      </w:r>
      <w:r>
        <w:rPr>
          <w:b/>
          <w:bCs/>
        </w:rPr>
        <w:t xml:space="preserve">$157</w:t>
      </w:r>
      <w:r>
        <w:t xml:space="preserve">, and whether the company continues to convert brokerage users into banking and credit users.</w:t>
      </w:r>
    </w:p>
    <w:p>
      <w:pPr>
        <w:pStyle w:val="BodyText"/>
      </w:pPr>
      <w:r>
        <w:t xml:space="preserve">A particularly useful data point will be Gold subscriber growth relative to funded-customer growth. Sustained attach-rate expansion would support the argument that HOOD is increasing monetization without relying entirely on trading intensity.</w:t>
      </w:r>
    </w:p>
    <w:p>
      <w:r>
        <w:pict>
          <v:rect style="width:0;height:1.5pt" o:hralign="center" o:hrstd="t" o:hr="t"/>
        </w:pict>
      </w:r>
    </w:p>
    <w:bookmarkEnd w:id="16"/>
    <w:bookmarkStart w:id="17" w:name="X88b2bda853d45607388ce41f668489263096c5b"/>
    <w:p>
      <w:pPr>
        <w:pStyle w:val="Heading2"/>
      </w:pPr>
      <w:r>
        <w:t xml:space="preserve">Expenses and margins: a quarter with known noise</w:t>
      </w:r>
    </w:p>
    <w:p>
      <w:pPr>
        <w:pStyle w:val="FirstParagraph"/>
      </w:pPr>
      <w:r>
        <w:t xml:space="preserve">Expense growth is likely to be unusually important this quarter.</w:t>
      </w:r>
    </w:p>
    <w:p>
      <w:pPr>
        <w:pStyle w:val="BodyText"/>
      </w:pPr>
      <w:r>
        <w:t xml:space="preserve">Robinhood’s 2026 adjusted operating expense plus SBC outlook is</w:t>
      </w:r>
      <w:r>
        <w:t xml:space="preserve"> </w:t>
      </w:r>
      <w:r>
        <w:rPr>
          <w:b/>
          <w:bCs/>
        </w:rPr>
        <w:t xml:space="preserve">$2.7 billion to $2.825 billion</w:t>
      </w:r>
      <w:r>
        <w:t xml:space="preserve">, raised by $100 million in 1Q to fund the Trump Accounts program. Management said approximately half of that incremental investment would fall in 2Q. The company also announced a June workforce reduction affecting roughly</w:t>
      </w:r>
      <w:r>
        <w:t xml:space="preserve"> </w:t>
      </w:r>
      <w:r>
        <w:rPr>
          <w:b/>
          <w:bCs/>
        </w:rPr>
        <w:t xml:space="preserve">10% of full-time employees</w:t>
      </w:r>
      <w:r>
        <w:t xml:space="preserve">, with estimated 2Q charges of approximately:</w:t>
      </w:r>
    </w:p>
    <w:p>
      <w:pPr>
        <w:pStyle w:val="Compact"/>
        <w:numPr>
          <w:ilvl w:val="0"/>
          <w:numId w:val="1007"/>
        </w:numPr>
      </w:pPr>
      <w:r>
        <w:rPr>
          <w:b/>
          <w:bCs/>
        </w:rPr>
        <w:t xml:space="preserve">$20 million</w:t>
      </w:r>
      <w:r>
        <w:t xml:space="preserve"> </w:t>
      </w:r>
      <w:r>
        <w:t xml:space="preserve">in cash restructuring and employee-benefit costs; and</w:t>
      </w:r>
    </w:p>
    <w:p>
      <w:pPr>
        <w:pStyle w:val="Compact"/>
        <w:numPr>
          <w:ilvl w:val="0"/>
          <w:numId w:val="1007"/>
        </w:numPr>
      </w:pPr>
      <w:r>
        <w:rPr>
          <w:b/>
          <w:bCs/>
        </w:rPr>
        <w:t xml:space="preserve">$8 million</w:t>
      </w:r>
      <w:r>
        <w:t xml:space="preserve"> </w:t>
      </w:r>
      <w:r>
        <w:t xml:space="preserve">of share-based compensation.</w:t>
      </w:r>
    </w:p>
    <w:p>
      <w:pPr>
        <w:pStyle w:val="FirstParagraph"/>
      </w:pPr>
      <w:r>
        <w:t xml:space="preserve">Therefore, a higher GAAP expense number should not automatically be read as deteriorating discipline. Investors should distinguish among:</w:t>
      </w:r>
    </w:p>
    <w:p>
      <w:pPr>
        <w:pStyle w:val="Compact"/>
        <w:numPr>
          <w:ilvl w:val="0"/>
          <w:numId w:val="1008"/>
        </w:numPr>
      </w:pPr>
      <w:r>
        <w:rPr>
          <w:b/>
          <w:bCs/>
        </w:rPr>
        <w:t xml:space="preserve">Core operating investment</w:t>
      </w:r>
      <w:r>
        <w:t xml:space="preserve"> </w:t>
      </w:r>
      <w:r>
        <w:t xml:space="preserve">in product, marketing, international expansion, and AI;</w:t>
      </w:r>
    </w:p>
    <w:p>
      <w:pPr>
        <w:pStyle w:val="Compact"/>
        <w:numPr>
          <w:ilvl w:val="0"/>
          <w:numId w:val="1008"/>
        </w:numPr>
      </w:pPr>
      <w:r>
        <w:rPr>
          <w:b/>
          <w:bCs/>
        </w:rPr>
        <w:t xml:space="preserve">Trump Accounts costs</w:t>
      </w:r>
      <w:r>
        <w:t xml:space="preserve">, which management says are contracted on a cost-plus basis and should generate revenue exceeding costs; and</w:t>
      </w:r>
    </w:p>
    <w:p>
      <w:pPr>
        <w:pStyle w:val="Compact"/>
        <w:numPr>
          <w:ilvl w:val="0"/>
          <w:numId w:val="1008"/>
        </w:numPr>
      </w:pPr>
      <w:r>
        <w:rPr>
          <w:b/>
          <w:bCs/>
        </w:rPr>
        <w:t xml:space="preserve">One-time restructuring charges</w:t>
      </w:r>
      <w:r>
        <w:t xml:space="preserve"> </w:t>
      </w:r>
      <w:r>
        <w:t xml:space="preserve">from the workforce reduction.</w:t>
      </w:r>
    </w:p>
    <w:p>
      <w:pPr>
        <w:pStyle w:val="FirstParagraph"/>
      </w:pPr>
      <w:r>
        <w:t xml:space="preserve">The best outcome would be an earnings beat accompanied by stable or improving adjusted-margin commentary, evidence that the layoff is a productivity action rather than a response to weakening demand, and no upward revision to the full-year expense guide.</w:t>
      </w:r>
    </w:p>
    <w:p>
      <w:r>
        <w:pict>
          <v:rect style="width:0;height:1.5pt" o:hralign="center" o:hrstd="t" o:hr="t"/>
        </w:pict>
      </w:r>
    </w:p>
    <w:bookmarkEnd w:id="17"/>
    <w:bookmarkStart w:id="18" w:name="X65e4dc15669820b4bb2ccac9422bfe209aaa9b9"/>
    <w:p>
      <w:pPr>
        <w:pStyle w:val="Heading2"/>
      </w:pPr>
      <w:r>
        <w:t xml:space="preserve">Capital allocation and balance-sheet considerations</w:t>
      </w:r>
    </w:p>
    <w:p>
      <w:pPr>
        <w:pStyle w:val="FirstParagraph"/>
      </w:pPr>
      <w:r>
        <w:t xml:space="preserve">In June, Robinhood closed a</w:t>
      </w:r>
      <w:r>
        <w:t xml:space="preserve"> </w:t>
      </w:r>
      <w:r>
        <w:rPr>
          <w:b/>
          <w:bCs/>
        </w:rPr>
        <w:t xml:space="preserve">$2.2 billion, 0% convertible senior notes offering due 2029</w:t>
      </w:r>
      <w:r>
        <w:t xml:space="preserve">. It used approximately:</w:t>
      </w:r>
    </w:p>
    <w:p>
      <w:pPr>
        <w:pStyle w:val="Compact"/>
        <w:numPr>
          <w:ilvl w:val="0"/>
          <w:numId w:val="1009"/>
        </w:numPr>
      </w:pPr>
      <w:r>
        <w:rPr>
          <w:b/>
          <w:bCs/>
        </w:rPr>
        <w:t xml:space="preserve">$290 million</w:t>
      </w:r>
      <w:r>
        <w:t xml:space="preserve"> </w:t>
      </w:r>
      <w:r>
        <w:t xml:space="preserve">to repurchase Class A shares;</w:t>
      </w:r>
    </w:p>
    <w:p>
      <w:pPr>
        <w:pStyle w:val="Compact"/>
        <w:numPr>
          <w:ilvl w:val="0"/>
          <w:numId w:val="1009"/>
        </w:numPr>
      </w:pPr>
      <w:r>
        <w:rPr>
          <w:b/>
          <w:bCs/>
        </w:rPr>
        <w:t xml:space="preserve">$123.2 million</w:t>
      </w:r>
      <w:r>
        <w:t xml:space="preserve"> </w:t>
      </w:r>
      <w:r>
        <w:t xml:space="preserve">for capped calls; and</w:t>
      </w:r>
    </w:p>
    <w:p>
      <w:pPr>
        <w:pStyle w:val="Compact"/>
        <w:numPr>
          <w:ilvl w:val="0"/>
          <w:numId w:val="1009"/>
        </w:numPr>
      </w:pPr>
      <w:r>
        <w:t xml:space="preserve">The remaining funds for general corporate purposes, including growth investment, potential acquisitions, and capital expenditures.</w:t>
      </w:r>
    </w:p>
    <w:p>
      <w:pPr>
        <w:pStyle w:val="FirstParagraph"/>
      </w:pPr>
      <w:r>
        <w:t xml:space="preserve">The notes provide strategic flexibility, but they introduce a new capital-allocation discussion. Management has framed the transaction as largely non-dilutive below much higher share-price thresholds after the capped calls and share repurchase. Still, investors should look for clarity on:</w:t>
      </w:r>
    </w:p>
    <w:p>
      <w:pPr>
        <w:pStyle w:val="Compact"/>
        <w:numPr>
          <w:ilvl w:val="0"/>
          <w:numId w:val="1010"/>
        </w:numPr>
      </w:pPr>
      <w:r>
        <w:t xml:space="preserve">Acquisition appetite;</w:t>
      </w:r>
    </w:p>
    <w:p>
      <w:pPr>
        <w:pStyle w:val="Compact"/>
        <w:numPr>
          <w:ilvl w:val="0"/>
          <w:numId w:val="1010"/>
        </w:numPr>
      </w:pPr>
      <w:r>
        <w:t xml:space="preserve">Further buyback plans under the refreshed</w:t>
      </w:r>
      <w:r>
        <w:t xml:space="preserve"> </w:t>
      </w:r>
      <w:r>
        <w:rPr>
          <w:b/>
          <w:bCs/>
        </w:rPr>
        <w:t xml:space="preserve">$1.5 billion</w:t>
      </w:r>
      <w:r>
        <w:t xml:space="preserve"> </w:t>
      </w:r>
      <w:r>
        <w:t xml:space="preserve">authorization;</w:t>
      </w:r>
    </w:p>
    <w:p>
      <w:pPr>
        <w:pStyle w:val="Compact"/>
        <w:numPr>
          <w:ilvl w:val="0"/>
          <w:numId w:val="1010"/>
        </w:numPr>
      </w:pPr>
      <w:r>
        <w:t xml:space="preserve">The intended pace of organic versus inorganic investment; and</w:t>
      </w:r>
    </w:p>
    <w:p>
      <w:pPr>
        <w:pStyle w:val="Compact"/>
        <w:numPr>
          <w:ilvl w:val="0"/>
          <w:numId w:val="1010"/>
        </w:numPr>
      </w:pPr>
      <w:r>
        <w:t xml:space="preserve">Any change in the company’s appetite for leverage or capital-intensive initiatives.</w:t>
      </w:r>
    </w:p>
    <w:p>
      <w:r>
        <w:pict>
          <v:rect style="width:0;height:1.5pt" o:hralign="center" o:hrstd="t" o:hr="t"/>
        </w:pict>
      </w:r>
    </w:p>
    <w:bookmarkEnd w:id="18"/>
    <w:bookmarkStart w:id="19" w:name="what-could-drive-a-positive-reaction"/>
    <w:p>
      <w:pPr>
        <w:pStyle w:val="Heading2"/>
      </w:pPr>
      <w:r>
        <w:t xml:space="preserve">What could drive a positive reaction</w:t>
      </w:r>
    </w:p>
    <w:p>
      <w:pPr>
        <w:pStyle w:val="FirstParagraph"/>
      </w:pPr>
      <w:r>
        <w:t xml:space="preserve">A bullish print would likely include several of the following:</w:t>
      </w:r>
    </w:p>
    <w:p>
      <w:pPr>
        <w:pStyle w:val="Compact"/>
        <w:numPr>
          <w:ilvl w:val="0"/>
          <w:numId w:val="1011"/>
        </w:numPr>
      </w:pPr>
      <w:r>
        <w:t xml:space="preserve">Revenue and EPS above the roughly</w:t>
      </w:r>
      <w:r>
        <w:t xml:space="preserve"> </w:t>
      </w:r>
      <w:r>
        <w:rPr>
          <w:b/>
          <w:bCs/>
        </w:rPr>
        <w:t xml:space="preserve">$1.29 billion / $0.43</w:t>
      </w:r>
      <w:r>
        <w:t xml:space="preserve"> </w:t>
      </w:r>
      <w:r>
        <w:t xml:space="preserve">consensus;</w:t>
      </w:r>
    </w:p>
    <w:p>
      <w:pPr>
        <w:pStyle w:val="Compact"/>
        <w:numPr>
          <w:ilvl w:val="0"/>
          <w:numId w:val="1011"/>
        </w:numPr>
      </w:pPr>
      <w:r>
        <w:t xml:space="preserve">Prediction-market revenue materially ahead of expectations;</w:t>
      </w:r>
    </w:p>
    <w:p>
      <w:pPr>
        <w:pStyle w:val="Compact"/>
        <w:numPr>
          <w:ilvl w:val="0"/>
          <w:numId w:val="1011"/>
        </w:numPr>
      </w:pPr>
      <w:r>
        <w:t xml:space="preserve">Net deposits sustaining a</w:t>
      </w:r>
      <w:r>
        <w:t xml:space="preserve"> </w:t>
      </w:r>
      <w:r>
        <w:rPr>
          <w:b/>
          <w:bCs/>
        </w:rPr>
        <w:t xml:space="preserve">20%+ annualized</w:t>
      </w:r>
      <w:r>
        <w:t xml:space="preserve"> </w:t>
      </w:r>
      <w:r>
        <w:t xml:space="preserve">growth rate;</w:t>
      </w:r>
    </w:p>
    <w:p>
      <w:pPr>
        <w:pStyle w:val="Compact"/>
        <w:numPr>
          <w:ilvl w:val="0"/>
          <w:numId w:val="1011"/>
        </w:numPr>
      </w:pPr>
      <w:r>
        <w:t xml:space="preserve">Strong Gold subscriber additions and continuing ARPU expansion;</w:t>
      </w:r>
    </w:p>
    <w:p>
      <w:pPr>
        <w:pStyle w:val="Compact"/>
        <w:numPr>
          <w:ilvl w:val="0"/>
          <w:numId w:val="1011"/>
        </w:numPr>
      </w:pPr>
      <w:r>
        <w:t xml:space="preserve">Better-than-feared crypto revenue or constructive Bitstamp institutional commentary;</w:t>
      </w:r>
    </w:p>
    <w:p>
      <w:pPr>
        <w:pStyle w:val="Compact"/>
        <w:numPr>
          <w:ilvl w:val="0"/>
          <w:numId w:val="1011"/>
        </w:numPr>
      </w:pPr>
      <w:r>
        <w:t xml:space="preserve">A clean explanation of restructuring and Trump Accounts costs;</w:t>
      </w:r>
    </w:p>
    <w:p>
      <w:pPr>
        <w:pStyle w:val="Compact"/>
        <w:numPr>
          <w:ilvl w:val="0"/>
          <w:numId w:val="1011"/>
        </w:numPr>
      </w:pPr>
      <w:r>
        <w:t xml:space="preserve">Reaffirmed full-year expense guidance; and</w:t>
      </w:r>
    </w:p>
    <w:p>
      <w:pPr>
        <w:pStyle w:val="Compact"/>
        <w:numPr>
          <w:ilvl w:val="0"/>
          <w:numId w:val="1011"/>
        </w:numPr>
      </w:pPr>
      <w:r>
        <w:t xml:space="preserve">Strong July-to-date trends in trading activity, deposits, and platform assets.</w:t>
      </w:r>
    </w:p>
    <w:bookmarkEnd w:id="19"/>
    <w:bookmarkStart w:id="20" w:name="what-could-disappoint"/>
    <w:p>
      <w:pPr>
        <w:pStyle w:val="Heading2"/>
      </w:pPr>
      <w:r>
        <w:t xml:space="preserve">What could disappoint</w:t>
      </w:r>
    </w:p>
    <w:p>
      <w:pPr>
        <w:pStyle w:val="FirstParagraph"/>
      </w:pPr>
      <w:r>
        <w:t xml:space="preserve">Key downside risks into the print include:</w:t>
      </w:r>
    </w:p>
    <w:p>
      <w:pPr>
        <w:pStyle w:val="Compact"/>
        <w:numPr>
          <w:ilvl w:val="0"/>
          <w:numId w:val="1012"/>
        </w:numPr>
      </w:pPr>
      <w:r>
        <w:t xml:space="preserve">A sharper-than-expected crypto revenue decline;</w:t>
      </w:r>
    </w:p>
    <w:p>
      <w:pPr>
        <w:pStyle w:val="Compact"/>
        <w:numPr>
          <w:ilvl w:val="0"/>
          <w:numId w:val="1012"/>
        </w:numPr>
      </w:pPr>
      <w:r>
        <w:t xml:space="preserve">Evidence that options/equity volume growth is being offset by lower take rates;</w:t>
      </w:r>
    </w:p>
    <w:p>
      <w:pPr>
        <w:pStyle w:val="Compact"/>
        <w:numPr>
          <w:ilvl w:val="0"/>
          <w:numId w:val="1012"/>
        </w:numPr>
      </w:pPr>
      <w:r>
        <w:t xml:space="preserve">Slowing net deposits or weaker customer engagement after April;</w:t>
      </w:r>
    </w:p>
    <w:p>
      <w:pPr>
        <w:pStyle w:val="Compact"/>
        <w:numPr>
          <w:ilvl w:val="0"/>
          <w:numId w:val="1012"/>
        </w:numPr>
      </w:pPr>
      <w:r>
        <w:t xml:space="preserve">Expense growth that exceeds expectations without a credible revenue payoff;</w:t>
      </w:r>
    </w:p>
    <w:p>
      <w:pPr>
        <w:pStyle w:val="Compact"/>
        <w:numPr>
          <w:ilvl w:val="0"/>
          <w:numId w:val="1012"/>
        </w:numPr>
      </w:pPr>
      <w:r>
        <w:t xml:space="preserve">A reduction in adjusted-margin expectations;</w:t>
      </w:r>
    </w:p>
    <w:p>
      <w:pPr>
        <w:pStyle w:val="Compact"/>
        <w:numPr>
          <w:ilvl w:val="0"/>
          <w:numId w:val="1012"/>
        </w:numPr>
      </w:pPr>
      <w:r>
        <w:t xml:space="preserve">Regulatory pressure on prediction markets, including state-level disputes over jurisdiction; or</w:t>
      </w:r>
    </w:p>
    <w:p>
      <w:pPr>
        <w:pStyle w:val="Compact"/>
        <w:numPr>
          <w:ilvl w:val="0"/>
          <w:numId w:val="1012"/>
        </w:numPr>
      </w:pPr>
      <w:r>
        <w:t xml:space="preserve">Lack of clarity on how quickly new products—tokenization, international crypto, banking, AI tools, and Rothera—can become economically meaningful.</w:t>
      </w:r>
    </w:p>
    <w:p>
      <w:r>
        <w:pict>
          <v:rect style="width:0;height:1.5pt" o:hralign="center" o:hrstd="t" o:hr="t"/>
        </w:pict>
      </w:r>
    </w:p>
    <w:bookmarkEnd w:id="20"/>
    <w:bookmarkStart w:id="21" w:name="X12f053325472ac28f9bae2eb1254359fd9be28d"/>
    <w:p>
      <w:pPr>
        <w:pStyle w:val="Heading2"/>
      </w:pPr>
      <w:r>
        <w:t xml:space="preserve">Questions investors should want answered on the call</w:t>
      </w:r>
    </w:p>
    <w:p>
      <w:pPr>
        <w:pStyle w:val="Compact"/>
        <w:numPr>
          <w:ilvl w:val="0"/>
          <w:numId w:val="1013"/>
        </w:numPr>
      </w:pPr>
      <w:r>
        <w:rPr>
          <w:b/>
          <w:bCs/>
        </w:rPr>
        <w:t xml:space="preserve">Prediction markets:</w:t>
      </w:r>
      <w:r>
        <w:t xml:space="preserve"> </w:t>
      </w:r>
      <w:r>
        <w:t xml:space="preserve">What was 2Q revenue, what were the unit economics, and how should investors think about 3Q seasonality and Rothera’s rollout?</w:t>
      </w:r>
    </w:p>
    <w:p>
      <w:pPr>
        <w:pStyle w:val="Compact"/>
        <w:numPr>
          <w:ilvl w:val="0"/>
          <w:numId w:val="1013"/>
        </w:numPr>
      </w:pPr>
      <w:r>
        <w:rPr>
          <w:b/>
          <w:bCs/>
        </w:rPr>
        <w:t xml:space="preserve">Net deposits:</w:t>
      </w:r>
      <w:r>
        <w:t xml:space="preserve"> </w:t>
      </w:r>
      <w:r>
        <w:t xml:space="preserve">Did deposits remain above the 20% annualized growth threshold, and what mix of products drove them?</w:t>
      </w:r>
    </w:p>
    <w:p>
      <w:pPr>
        <w:pStyle w:val="Compact"/>
        <w:numPr>
          <w:ilvl w:val="0"/>
          <w:numId w:val="1013"/>
        </w:numPr>
      </w:pPr>
      <w:r>
        <w:rPr>
          <w:b/>
          <w:bCs/>
        </w:rPr>
        <w:t xml:space="preserve">Trading economics:</w:t>
      </w:r>
      <w:r>
        <w:t xml:space="preserve"> </w:t>
      </w:r>
      <w:r>
        <w:t xml:space="preserve">How did options and equity take rates evolve versus 1Q, and did active-trader engagement improve or pressure monetization?</w:t>
      </w:r>
    </w:p>
    <w:p>
      <w:pPr>
        <w:pStyle w:val="Compact"/>
        <w:numPr>
          <w:ilvl w:val="0"/>
          <w:numId w:val="1013"/>
        </w:numPr>
      </w:pPr>
      <w:r>
        <w:rPr>
          <w:b/>
          <w:bCs/>
        </w:rPr>
        <w:t xml:space="preserve">Crypto:</w:t>
      </w:r>
      <w:r>
        <w:t xml:space="preserve"> </w:t>
      </w:r>
      <w:r>
        <w:t xml:space="preserve">Is the 2Q slowdown bottoming, and how meaningful are Bitstamp institutional share gains, lending, perpetuals, and tokenized products?</w:t>
      </w:r>
    </w:p>
    <w:p>
      <w:pPr>
        <w:pStyle w:val="Compact"/>
        <w:numPr>
          <w:ilvl w:val="0"/>
          <w:numId w:val="1013"/>
        </w:numPr>
      </w:pPr>
      <w:r>
        <w:rPr>
          <w:b/>
          <w:bCs/>
        </w:rPr>
        <w:t xml:space="preserve">Expense guide:</w:t>
      </w:r>
      <w:r>
        <w:t xml:space="preserve"> </w:t>
      </w:r>
      <w:r>
        <w:t xml:space="preserve">Does the</w:t>
      </w:r>
      <w:r>
        <w:t xml:space="preserve"> </w:t>
      </w:r>
      <m:oMath>
        <m:r>
          <m:t>2.7</m:t>
        </m:r>
        <m:r>
          <m:t>b</m:t>
        </m:r>
        <m:r>
          <m:t>i</m:t>
        </m:r>
        <m:r>
          <m:t>l</m:t>
        </m:r>
        <m:r>
          <m:t>l</m:t>
        </m:r>
        <m:r>
          <m:t>i</m:t>
        </m:r>
        <m:r>
          <m:t>o</m:t>
        </m:r>
        <m:r>
          <m:t>n</m:t>
        </m:r>
        <m:r>
          <m:rPr>
            <m:sty m:val="p"/>
          </m:rPr>
          <m:t>–</m:t>
        </m:r>
      </m:oMath>
      <w:r>
        <w:t xml:space="preserve">2.825 billion adjusted OpEx-plus-SBC framework still hold after restructuring charges and incremental investment?</w:t>
      </w:r>
    </w:p>
    <w:p>
      <w:pPr>
        <w:pStyle w:val="Compact"/>
        <w:numPr>
          <w:ilvl w:val="0"/>
          <w:numId w:val="1013"/>
        </w:numPr>
      </w:pPr>
      <w:r>
        <w:rPr>
          <w:b/>
          <w:bCs/>
        </w:rPr>
        <w:t xml:space="preserve">Trump Accounts:</w:t>
      </w:r>
      <w:r>
        <w:t xml:space="preserve"> </w:t>
      </w:r>
      <w:r>
        <w:t xml:space="preserve">What revenue and cost timing should investors expect in the second half, and how should the business be modeled?</w:t>
      </w:r>
    </w:p>
    <w:p>
      <w:pPr>
        <w:pStyle w:val="Compact"/>
        <w:numPr>
          <w:ilvl w:val="0"/>
          <w:numId w:val="1013"/>
        </w:numPr>
      </w:pPr>
      <w:r>
        <w:rPr>
          <w:b/>
          <w:bCs/>
        </w:rPr>
        <w:t xml:space="preserve">Capital allocation:</w:t>
      </w:r>
      <w:r>
        <w:t xml:space="preserve"> </w:t>
      </w:r>
      <w:r>
        <w:t xml:space="preserve">Will the convertible financing primarily support M&amp;A, organic investment, buybacks, or all three?</w:t>
      </w:r>
    </w:p>
    <w:p>
      <w:r>
        <w:pict>
          <v:rect style="width:0;height:1.5pt" o:hralign="center" o:hrstd="t" o:hr="t"/>
        </w:pict>
      </w:r>
    </w:p>
    <w:bookmarkEnd w:id="21"/>
    <w:bookmarkStart w:id="23" w:name="investment-framing"/>
    <w:p>
      <w:pPr>
        <w:pStyle w:val="Heading2"/>
      </w:pPr>
      <w:r>
        <w:t xml:space="preserve">Investment framing</w:t>
      </w:r>
    </w:p>
    <w:p>
      <w:pPr>
        <w:pStyle w:val="FirstParagraph"/>
      </w:pPr>
      <w:r>
        <w:t xml:space="preserve">HOOD enters earnings with a more diversified growth engine than in prior cycles. The company has meaningful exposure to trading activity, but it also has growing recurring and balance-sheet-linked revenue through Gold, interest income, retirement, banking, credit, and margin. The key near-term swing factor is whether prediction markets have become large enough to offset cyclical crypto weakness and sustain the company’s premium growth narrative.</w:t>
      </w:r>
    </w:p>
    <w:p>
      <w:pPr>
        <w:pStyle w:val="BodyText"/>
      </w:pPr>
      <w:r>
        <w:rPr>
          <w:b/>
          <w:bCs/>
        </w:rPr>
        <w:t xml:space="preserve">My read:</w:t>
      </w:r>
      <w:r>
        <w:t xml:space="preserve"> </w:t>
      </w:r>
      <w:r>
        <w:t xml:space="preserve">the operating setup appears favorable, especially for equity/options engagement and prediction markets, but expectations already assume a sharp sequential revenue step-up. A simple beat may not be sufficient. The stock likely needs evidence that</w:t>
      </w:r>
      <w:r>
        <w:t xml:space="preserve"> </w:t>
      </w:r>
      <w:r>
        <w:rPr>
          <w:b/>
          <w:bCs/>
        </w:rPr>
        <w:t xml:space="preserve">net deposits remain strong, prediction-market revenue is scalable, and investment spending will preserve attractive incremental margins</w:t>
      </w:r>
      <w:r>
        <w:t xml:space="preserve">.</w:t>
      </w:r>
    </w:p>
    <w:bookmarkStart w:id="22" w:name="sources"/>
    <w:p>
      <w:pPr>
        <w:pStyle w:val="Heading3"/>
      </w:pPr>
      <w:r>
        <w:t xml:space="preserve">Sources</w:t>
      </w:r>
    </w:p>
    <w:p>
      <w:pPr>
        <w:pStyle w:val="Compact"/>
        <w:numPr>
          <w:ilvl w:val="0"/>
          <w:numId w:val="1014"/>
        </w:numPr>
      </w:pPr>
      <w:r>
        <w:t xml:space="preserve">Robinhood 1Q26 earnings release and earnings-call transcript, April 28, 2026</w:t>
      </w:r>
    </w:p>
    <w:p>
      <w:pPr>
        <w:pStyle w:val="Compact"/>
        <w:numPr>
          <w:ilvl w:val="0"/>
          <w:numId w:val="1014"/>
        </w:numPr>
      </w:pPr>
      <w:r>
        <w:t xml:space="preserve">Robinhood 2Q25 earnings release, July 30, 2025</w:t>
      </w:r>
    </w:p>
    <w:p>
      <w:pPr>
        <w:pStyle w:val="Compact"/>
        <w:numPr>
          <w:ilvl w:val="0"/>
          <w:numId w:val="1014"/>
        </w:numPr>
      </w:pPr>
      <w:r>
        <w:t xml:space="preserve">Robinhood June 16, 2026 Form 8-K on workforce reduction</w:t>
      </w:r>
    </w:p>
    <w:p>
      <w:pPr>
        <w:pStyle w:val="Compact"/>
        <w:numPr>
          <w:ilvl w:val="0"/>
          <w:numId w:val="1014"/>
        </w:numPr>
      </w:pPr>
      <w:r>
        <w:t xml:space="preserve">Robinhood June 25, 2026 convertible-notes offering announcement</w:t>
      </w:r>
    </w:p>
    <w:p>
      <w:pPr>
        <w:pStyle w:val="Compact"/>
        <w:numPr>
          <w:ilvl w:val="0"/>
          <w:numId w:val="1014"/>
        </w:numPr>
      </w:pPr>
      <w:r>
        <w:t xml:space="preserve">Pre-earnings market-consensus and recent HOOD trading data</w:t>
      </w:r>
    </w:p>
    <w:bookmarkEnd w:id="22"/>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2026-07-29T01:33:40Z</dcterms:created>
  <dcterms:modified xsi:type="dcterms:W3CDTF">2026-07-29T01:33:40Z</dcterms:modified>
</cp:coreProperties>
</file>

<file path=docProps/custom.xml><?xml version="1.0" encoding="utf-8"?>
<Properties xmlns="http://schemas.openxmlformats.org/officeDocument/2006/custom-properties" xmlns:vt="http://schemas.openxmlformats.org/officeDocument/2006/docPropsVTypes"/>
</file>