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od-earnings-predictions--2026-07-29"/>
    <w:p>
      <w:pPr>
        <w:pStyle w:val="Heading1"/>
      </w:pPr>
      <w:r>
        <w:t xml:space="preserve">HOOD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~$1,330M vs. cons $1,285M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Deposits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~$19.5B vs. cons $18.7B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~$590M vs. cons $623M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OpEx + SBC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~$2.70-2.80B vs. prior $2.70-2.825B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Volume/Deposit Tone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constructive but acknowledging seasonal moderation vs. cons implying flat-to-up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(FADE)</w:t>
            </w:r>
          </w:p>
        </w:tc>
        <w:tc>
          <w:tcPr/>
          <w:p>
            <w:pPr>
              <w:pStyle w:val="Compact"/>
            </w:pPr>
            <w:r>
              <w:t xml:space="preserve">FADE — EBITDA miss drives sell-side H2 margin cuts; revenue beat acknowledged but insufficient to offset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2026-07-31T21:29:57Z</dcterms:created>
  <dcterms:modified xsi:type="dcterms:W3CDTF">2026-07-31T21:29:57Z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