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Robinhood Markets (HOOD) — Q2 2026 Earnings Preview</w:t>
      </w:r>
    </w:p>
    <w:p>
      <w:r>
        <w:rPr>
          <w:rFonts w:ascii="Calibri" w:hAnsi="Calibri"/>
          <w:b/>
          <w:color w:val="525866"/>
          <w:sz w:val="22"/>
        </w:rPr>
        <w:t xml:space="preserve">Ticker: </w:t>
      </w:r>
      <w:r>
        <w:rPr>
          <w:rFonts w:ascii="Calibri" w:hAnsi="Calibri"/>
          <w:color w:val="525866"/>
          <w:sz w:val="22"/>
        </w:rPr>
        <w:t xml:space="preserve">HOOD  </w:t>
      </w:r>
      <w:r>
        <w:rPr>
          <w:rFonts w:ascii="Calibri" w:hAnsi="Calibri"/>
          <w:b/>
          <w:color w:val="525866"/>
          <w:sz w:val="22"/>
        </w:rPr>
        <w:t xml:space="preserve">Earnings Date: </w:t>
      </w:r>
      <w:r>
        <w:rPr>
          <w:rFonts w:ascii="Calibri" w:hAnsi="Calibri"/>
          <w:color w:val="525866"/>
          <w:sz w:val="22"/>
        </w:rPr>
        <w:t xml:space="preserve">July 29, 2026  </w:t>
      </w:r>
      <w:r>
        <w:rPr>
          <w:rFonts w:ascii="Calibri" w:hAnsi="Calibri"/>
          <w:b/>
          <w:color w:val="525866"/>
          <w:sz w:val="22"/>
        </w:rPr>
        <w:t xml:space="preserve">Reporting Period: </w:t>
      </w:r>
      <w:r>
        <w:rPr>
          <w:rFonts w:ascii="Calibri" w:hAnsi="Calibri"/>
          <w:color w:val="525866"/>
          <w:sz w:val="22"/>
        </w:rPr>
        <w:t xml:space="preserve">Q2 2026 (ended June 30, 2026)  </w:t>
      </w:r>
      <w:r>
        <w:rPr>
          <w:rFonts w:ascii="Calibri" w:hAnsi="Calibri"/>
          <w:b/>
          <w:color w:val="525866"/>
          <w:sz w:val="22"/>
        </w:rPr>
        <w:t xml:space="preserve">Prepared: </w:t>
      </w:r>
      <w:r>
        <w:rPr>
          <w:rFonts w:ascii="Calibri" w:hAnsi="Calibri"/>
          <w:color w:val="525866"/>
          <w:sz w:val="22"/>
        </w:rPr>
        <w:t>July 28,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Setup is moderately constructive — consensus has moved up since Q1 earnings and the bar is achievable, but the single biggest swing factor is </w:t>
      </w:r>
      <w:r>
        <w:rPr>
          <w:rFonts w:ascii="Calibri" w:hAnsi="Calibri"/>
          <w:b/>
          <w:color w:val="002FA7"/>
          <w:sz w:val="22"/>
        </w:rPr>
        <w:t>crypto revenue recovery</w:t>
      </w:r>
      <w:r>
        <w:rPr>
          <w:rFonts w:ascii="Calibri" w:hAnsi="Calibri"/>
          <w:b/>
          <w:color w:val="525866"/>
          <w:sz w:val="22"/>
        </w:rPr>
        <w:t>, which consensus has already revised sharply lower and where any upside surprise could drive a meaningful beat.</w:t>
      </w:r>
    </w:p>
    <w:p>
      <w:r>
        <w:rPr>
          <w:rFonts w:ascii="Calibri" w:hAnsi="Calibri"/>
          <w:color w:val="525866"/>
          <w:sz w:val="22"/>
        </w:rPr>
        <w:t xml:space="preserve">Heading into Q2 2026, the setup for HOOD is more balanced than the Q1 miss would suggest. The bar on total revenue is $1.29B (consensus), up ~21% YoY, but estimates have been revised meaningfully higher since the Q1 print — a sign the Street is pricing in a strong quarter driven by record equity and options volumes (management flagged June 1 as HOOD's biggest equity trading day ever), PDT rule elimination tailwinds, and the Rothera prediction markets exchange going live. Management's tone has been notably confident at conferences, pointing to record June month-to-date trading volumes across equities, options, and prediction markets even as it announced a 10% workforce reduction "from a position of business strength." The estimate revision trajectory is constructive — revenue estimates for Q2 are up ~$84M and full-year estimates up ~$155M since the Q1 print — though the stock has already rallied ~13% from the post-earnings low, pricing in much of the good news. The key wildcard is </w:t>
      </w:r>
      <w:r>
        <w:rPr>
          <w:rFonts w:ascii="Calibri" w:hAnsi="Calibri"/>
          <w:b/>
          <w:color w:val="525866"/>
          <w:sz w:val="22"/>
        </w:rPr>
        <w:t>crypto revenue</w:t>
      </w:r>
      <w:r>
        <w:rPr>
          <w:rFonts w:ascii="Calibri" w:hAnsi="Calibri"/>
          <w:color w:val="525866"/>
          <w:sz w:val="22"/>
        </w:rPr>
        <w:t>: consensus has collapsed from ~$133M (post-Q1 baseline) to ~$89M for Q2, and any recovery in crypto volumes or take rate stabilization — which management signaled was occurring in April — could be the single largest source of upside surprise on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moderately high bar on revenue ($1.29B, +21% YoY) but a low bar on crypto ($89M, -44% YoY) — </w:t>
      </w:r>
      <w:r>
        <w:rPr>
          <w:rFonts w:ascii="Calibri" w:hAnsi="Calibri"/>
          <w:b/>
          <w:color w:val="525866"/>
          <w:sz w:val="22"/>
        </w:rPr>
        <w:t>net deposits and Gold subscribers are the durability metrics to watch, while crypto revenue is the biggest swing factor for the beat/miss outcome.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w:t>
            </w:r>
          </w:p>
        </w:tc>
        <w:tc>
          <w:tcPr>
            <w:tcW w:type="dxa" w:w="1234"/>
          </w:tcPr>
          <w:p>
            <w:r>
              <w:rPr>
                <w:rFonts w:ascii="Calibri" w:hAnsi="Calibri"/>
                <w:sz w:val="22"/>
              </w:rPr>
              <w:t>$1,067M</w:t>
            </w:r>
          </w:p>
        </w:tc>
        <w:tc>
          <w:tcPr>
            <w:tcW w:type="dxa" w:w="1234"/>
          </w:tcPr>
          <w:p>
            <w:r>
              <w:rPr>
                <w:rFonts w:ascii="Calibri" w:hAnsi="Calibri"/>
                <w:sz w:val="22"/>
              </w:rPr>
              <w:t>$989M</w:t>
            </w:r>
          </w:p>
        </w:tc>
        <w:tc>
          <w:tcPr>
            <w:tcW w:type="dxa" w:w="1234"/>
          </w:tcPr>
          <w:p>
            <w:r>
              <w:rPr>
                <w:rFonts w:ascii="Calibri" w:hAnsi="Calibri"/>
                <w:sz w:val="22"/>
              </w:rPr>
              <w:t>$1,285M</w:t>
            </w:r>
          </w:p>
        </w:tc>
        <w:tc>
          <w:tcPr>
            <w:tcW w:type="dxa" w:w="1234"/>
          </w:tcPr>
          <w:p>
            <w:r>
              <w:rPr>
                <w:rFonts w:ascii="Calibri" w:hAnsi="Calibri"/>
                <w:sz w:val="22"/>
              </w:rPr>
              <w:t>+30.0%</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Adj. Operating EPS (Diluted)</w:t>
            </w:r>
          </w:p>
        </w:tc>
        <w:tc>
          <w:tcPr>
            <w:tcW w:type="dxa" w:w="1234"/>
          </w:tcPr>
          <w:p>
            <w:r>
              <w:rPr>
                <w:rFonts w:ascii="Calibri" w:hAnsi="Calibri"/>
                <w:sz w:val="22"/>
              </w:rPr>
              <w:t>$0.52</w:t>
            </w:r>
          </w:p>
        </w:tc>
        <w:tc>
          <w:tcPr>
            <w:tcW w:type="dxa" w:w="1234"/>
          </w:tcPr>
          <w:p>
            <w:r>
              <w:rPr>
                <w:rFonts w:ascii="Calibri" w:hAnsi="Calibri"/>
                <w:sz w:val="22"/>
              </w:rPr>
              <w:t>$0.54</w:t>
            </w:r>
          </w:p>
        </w:tc>
        <w:tc>
          <w:tcPr>
            <w:tcW w:type="dxa" w:w="1234"/>
          </w:tcPr>
          <w:p>
            <w:r>
              <w:rPr>
                <w:rFonts w:ascii="Calibri" w:hAnsi="Calibri"/>
                <w:sz w:val="22"/>
              </w:rPr>
              <w:t>$0.57</w:t>
            </w:r>
          </w:p>
        </w:tc>
        <w:tc>
          <w:tcPr>
            <w:tcW w:type="dxa" w:w="1234"/>
          </w:tcPr>
          <w:p>
            <w:r>
              <w:rPr>
                <w:rFonts w:ascii="Calibri" w:hAnsi="Calibri"/>
                <w:sz w:val="22"/>
              </w:rPr>
              <w:t>+5.6%</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Net Deposits</w:t>
            </w:r>
          </w:p>
        </w:tc>
        <w:tc>
          <w:tcPr>
            <w:tcW w:type="dxa" w:w="1234"/>
          </w:tcPr>
          <w:p>
            <w:r>
              <w:rPr>
                <w:rFonts w:ascii="Calibri" w:hAnsi="Calibri"/>
                <w:sz w:val="22"/>
              </w:rPr>
              <w:t>$17.7B</w:t>
            </w:r>
          </w:p>
        </w:tc>
        <w:tc>
          <w:tcPr>
            <w:tcW w:type="dxa" w:w="1234"/>
          </w:tcPr>
          <w:p>
            <w:r>
              <w:rPr>
                <w:rFonts w:ascii="Calibri" w:hAnsi="Calibri"/>
                <w:sz w:val="22"/>
              </w:rPr>
              <w:t>$13.8B</w:t>
            </w:r>
          </w:p>
        </w:tc>
        <w:tc>
          <w:tcPr>
            <w:tcW w:type="dxa" w:w="1234"/>
          </w:tcPr>
          <w:p>
            <w:r>
              <w:rPr>
                <w:rFonts w:ascii="Calibri" w:hAnsi="Calibri"/>
                <w:sz w:val="22"/>
              </w:rPr>
              <w:t>$18.7B</w:t>
            </w:r>
          </w:p>
        </w:tc>
        <w:tc>
          <w:tcPr>
            <w:tcW w:type="dxa" w:w="1234"/>
          </w:tcPr>
          <w:p>
            <w:r>
              <w:rPr>
                <w:rFonts w:ascii="Calibri" w:hAnsi="Calibri"/>
                <w:sz w:val="22"/>
              </w:rPr>
              <w:t>+35.5%</w:t>
            </w:r>
          </w:p>
        </w:tc>
        <w:tc>
          <w:tcPr>
            <w:tcW w:type="dxa" w:w="1234"/>
          </w:tcPr>
          <w:p>
            <w:r>
              <w:rPr>
                <w:rFonts w:ascii="Calibri" w:hAnsi="Calibri"/>
                <w:sz w:val="22"/>
              </w:rPr>
              <w:t>20%+ annualized growth rate target</w:t>
            </w:r>
          </w:p>
        </w:tc>
        <w:tc>
          <w:tcPr>
            <w:tcW w:type="dxa" w:w="1234"/>
          </w:tcPr>
          <w:p>
            <w:r>
              <w:rPr>
                <w:rFonts w:ascii="Calibri" w:hAnsi="Calibri"/>
                <w:sz w:val="22"/>
              </w:rPr>
              <w:t>Above target</w:t>
            </w:r>
          </w:p>
        </w:tc>
      </w:tr>
      <w:tr>
        <w:tc>
          <w:tcPr>
            <w:tcW w:type="dxa" w:w="1234"/>
          </w:tcPr>
          <w:p>
            <w:r>
              <w:rPr>
                <w:rFonts w:ascii="Calibri" w:hAnsi="Calibri"/>
                <w:sz w:val="22"/>
              </w:rPr>
              <w:t>Gold Subscribers</w:t>
            </w:r>
          </w:p>
        </w:tc>
        <w:tc>
          <w:tcPr>
            <w:tcW w:type="dxa" w:w="1234"/>
          </w:tcPr>
          <w:p>
            <w:r>
              <w:rPr>
                <w:rFonts w:ascii="Calibri" w:hAnsi="Calibri"/>
                <w:sz w:val="22"/>
              </w:rPr>
              <w:t>4.34M</w:t>
            </w:r>
          </w:p>
        </w:tc>
        <w:tc>
          <w:tcPr>
            <w:tcW w:type="dxa" w:w="1234"/>
          </w:tcPr>
          <w:p>
            <w:r>
              <w:rPr>
                <w:rFonts w:ascii="Calibri" w:hAnsi="Calibri"/>
                <w:sz w:val="22"/>
              </w:rPr>
              <w:t>3.48M</w:t>
            </w:r>
          </w:p>
        </w:tc>
        <w:tc>
          <w:tcPr>
            <w:tcW w:type="dxa" w:w="1234"/>
          </w:tcPr>
          <w:p>
            <w:r>
              <w:rPr>
                <w:rFonts w:ascii="Calibri" w:hAnsi="Calibri"/>
                <w:sz w:val="22"/>
              </w:rPr>
              <w:t>4.59M</w:t>
            </w:r>
          </w:p>
        </w:tc>
        <w:tc>
          <w:tcPr>
            <w:tcW w:type="dxa" w:w="1234"/>
          </w:tcPr>
          <w:p>
            <w:r>
              <w:rPr>
                <w:rFonts w:ascii="Calibri" w:hAnsi="Calibri"/>
                <w:sz w:val="22"/>
              </w:rPr>
              <w:t>+32.0%</w:t>
            </w:r>
          </w:p>
        </w:tc>
        <w:tc>
          <w:tcPr>
            <w:tcW w:type="dxa" w:w="1234"/>
          </w:tcPr>
          <w:p>
            <w:r>
              <w:rPr>
                <w:rFonts w:ascii="Calibri" w:hAnsi="Calibri"/>
                <w:sz w:val="22"/>
              </w:rPr>
              <w:t>Continued strong growth</w:t>
            </w:r>
          </w:p>
        </w:tc>
        <w:tc>
          <w:tcPr>
            <w:tcW w:type="dxa" w:w="1234"/>
          </w:tcPr>
          <w:p>
            <w:r>
              <w:rPr>
                <w:rFonts w:ascii="Calibri" w:hAnsi="Calibri"/>
                <w:sz w:val="22"/>
              </w:rPr>
              <w:t>N/A (qualitative)</w:t>
            </w:r>
          </w:p>
        </w:tc>
      </w:tr>
      <w:tr>
        <w:tc>
          <w:tcPr>
            <w:tcW w:type="dxa" w:w="1234"/>
          </w:tcPr>
          <w:p>
            <w:r>
              <w:rPr>
                <w:rFonts w:ascii="Calibri" w:hAnsi="Calibri"/>
                <w:sz w:val="22"/>
              </w:rPr>
              <w:t>Adj. Operating EBITDA</w:t>
            </w:r>
          </w:p>
        </w:tc>
        <w:tc>
          <w:tcPr>
            <w:tcW w:type="dxa" w:w="1234"/>
          </w:tcPr>
          <w:p>
            <w:r>
              <w:rPr>
                <w:rFonts w:ascii="Calibri" w:hAnsi="Calibri"/>
                <w:sz w:val="22"/>
              </w:rPr>
              <w:t>$534M</w:t>
            </w:r>
          </w:p>
        </w:tc>
        <w:tc>
          <w:tcPr>
            <w:tcW w:type="dxa" w:w="1234"/>
          </w:tcPr>
          <w:p>
            <w:r>
              <w:rPr>
                <w:rFonts w:ascii="Calibri" w:hAnsi="Calibri"/>
                <w:sz w:val="22"/>
              </w:rPr>
              <w:t>$549M</w:t>
            </w:r>
          </w:p>
        </w:tc>
        <w:tc>
          <w:tcPr>
            <w:tcW w:type="dxa" w:w="1234"/>
          </w:tcPr>
          <w:p>
            <w:r>
              <w:rPr>
                <w:rFonts w:ascii="Calibri" w:hAnsi="Calibri"/>
                <w:sz w:val="22"/>
              </w:rPr>
              <w:t>$623M</w:t>
            </w:r>
          </w:p>
        </w:tc>
        <w:tc>
          <w:tcPr>
            <w:tcW w:type="dxa" w:w="1234"/>
          </w:tcPr>
          <w:p>
            <w:r>
              <w:rPr>
                <w:rFonts w:ascii="Calibri" w:hAnsi="Calibri"/>
                <w:sz w:val="22"/>
              </w:rPr>
              <w:t>+13.5%</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Adj. EBITDA Margin</w:t>
            </w:r>
          </w:p>
        </w:tc>
        <w:tc>
          <w:tcPr>
            <w:tcW w:type="dxa" w:w="1234"/>
          </w:tcPr>
          <w:p>
            <w:r>
              <w:rPr>
                <w:rFonts w:ascii="Calibri" w:hAnsi="Calibri"/>
                <w:sz w:val="22"/>
              </w:rPr>
              <w:t>50.0%</w:t>
            </w:r>
          </w:p>
        </w:tc>
        <w:tc>
          <w:tcPr>
            <w:tcW w:type="dxa" w:w="1234"/>
          </w:tcPr>
          <w:p>
            <w:r>
              <w:rPr>
                <w:rFonts w:ascii="Calibri" w:hAnsi="Calibri"/>
                <w:sz w:val="22"/>
              </w:rPr>
              <w:t>55.5%</w:t>
            </w:r>
          </w:p>
        </w:tc>
        <w:tc>
          <w:tcPr>
            <w:tcW w:type="dxa" w:w="1234"/>
          </w:tcPr>
          <w:p>
            <w:r>
              <w:rPr>
                <w:rFonts w:ascii="Calibri" w:hAnsi="Calibri"/>
                <w:sz w:val="22"/>
              </w:rPr>
              <w:t>48.6%</w:t>
            </w:r>
          </w:p>
        </w:tc>
        <w:tc>
          <w:tcPr>
            <w:tcW w:type="dxa" w:w="1234"/>
          </w:tcPr>
          <w:p>
            <w:r>
              <w:rPr>
                <w:rFonts w:ascii="Calibri" w:hAnsi="Calibri"/>
                <w:sz w:val="22"/>
              </w:rPr>
              <w:t>-6.9 pp</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Transaction Rev. — Crypto</w:t>
            </w:r>
          </w:p>
        </w:tc>
        <w:tc>
          <w:tcPr>
            <w:tcW w:type="dxa" w:w="1234"/>
          </w:tcPr>
          <w:p>
            <w:r>
              <w:rPr>
                <w:rFonts w:ascii="Calibri" w:hAnsi="Calibri"/>
                <w:sz w:val="22"/>
              </w:rPr>
              <w:t>$134M</w:t>
            </w:r>
          </w:p>
        </w:tc>
        <w:tc>
          <w:tcPr>
            <w:tcW w:type="dxa" w:w="1234"/>
          </w:tcPr>
          <w:p>
            <w:r>
              <w:rPr>
                <w:rFonts w:ascii="Calibri" w:hAnsi="Calibri"/>
                <w:sz w:val="22"/>
              </w:rPr>
              <w:t>$160M</w:t>
            </w:r>
          </w:p>
        </w:tc>
        <w:tc>
          <w:tcPr>
            <w:tcW w:type="dxa" w:w="1234"/>
          </w:tcPr>
          <w:p>
            <w:r>
              <w:rPr>
                <w:rFonts w:ascii="Calibri" w:hAnsi="Calibri"/>
                <w:sz w:val="22"/>
              </w:rPr>
              <w:t>$89M</w:t>
            </w:r>
          </w:p>
        </w:tc>
        <w:tc>
          <w:tcPr>
            <w:tcW w:type="dxa" w:w="1234"/>
          </w:tcPr>
          <w:p>
            <w:r>
              <w:rPr>
                <w:rFonts w:ascii="Calibri" w:hAnsi="Calibri"/>
                <w:sz w:val="22"/>
              </w:rPr>
              <w:t>-44.4%</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Transaction Rev. — Options</w:t>
            </w:r>
          </w:p>
        </w:tc>
        <w:tc>
          <w:tcPr>
            <w:tcW w:type="dxa" w:w="1234"/>
          </w:tcPr>
          <w:p>
            <w:r>
              <w:rPr>
                <w:rFonts w:ascii="Calibri" w:hAnsi="Calibri"/>
                <w:sz w:val="22"/>
              </w:rPr>
              <w:t>$260M</w:t>
            </w:r>
          </w:p>
        </w:tc>
        <w:tc>
          <w:tcPr>
            <w:tcW w:type="dxa" w:w="1234"/>
          </w:tcPr>
          <w:p>
            <w:r>
              <w:rPr>
                <w:rFonts w:ascii="Calibri" w:hAnsi="Calibri"/>
                <w:sz w:val="22"/>
              </w:rPr>
              <w:t>$265M</w:t>
            </w:r>
          </w:p>
        </w:tc>
        <w:tc>
          <w:tcPr>
            <w:tcW w:type="dxa" w:w="1234"/>
          </w:tcPr>
          <w:p>
            <w:r>
              <w:rPr>
                <w:rFonts w:ascii="Calibri" w:hAnsi="Calibri"/>
                <w:sz w:val="22"/>
              </w:rPr>
              <w:t>$335M</w:t>
            </w:r>
          </w:p>
        </w:tc>
        <w:tc>
          <w:tcPr>
            <w:tcW w:type="dxa" w:w="1234"/>
          </w:tcPr>
          <w:p>
            <w:r>
              <w:rPr>
                <w:rFonts w:ascii="Calibri" w:hAnsi="Calibri"/>
                <w:sz w:val="22"/>
              </w:rPr>
              <w:t>+26.4%</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Transaction Rev. — Equities</w:t>
            </w:r>
          </w:p>
        </w:tc>
        <w:tc>
          <w:tcPr>
            <w:tcW w:type="dxa" w:w="1234"/>
          </w:tcPr>
          <w:p>
            <w:r>
              <w:rPr>
                <w:rFonts w:ascii="Calibri" w:hAnsi="Calibri"/>
                <w:sz w:val="22"/>
              </w:rPr>
              <w:t>$82M</w:t>
            </w:r>
          </w:p>
        </w:tc>
        <w:tc>
          <w:tcPr>
            <w:tcW w:type="dxa" w:w="1234"/>
          </w:tcPr>
          <w:p>
            <w:r>
              <w:rPr>
                <w:rFonts w:ascii="Calibri" w:hAnsi="Calibri"/>
                <w:sz w:val="22"/>
              </w:rPr>
              <w:t>$66M</w:t>
            </w:r>
          </w:p>
        </w:tc>
        <w:tc>
          <w:tcPr>
            <w:tcW w:type="dxa" w:w="1234"/>
          </w:tcPr>
          <w:p>
            <w:r>
              <w:rPr>
                <w:rFonts w:ascii="Calibri" w:hAnsi="Calibri"/>
                <w:sz w:val="22"/>
              </w:rPr>
              <w:t>$121M</w:t>
            </w:r>
          </w:p>
        </w:tc>
        <w:tc>
          <w:tcPr>
            <w:tcW w:type="dxa" w:w="1234"/>
          </w:tcPr>
          <w:p>
            <w:r>
              <w:rPr>
                <w:rFonts w:ascii="Calibri" w:hAnsi="Calibri"/>
                <w:sz w:val="22"/>
              </w:rPr>
              <w:t>+83.3%</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Prediction Markets Revenue</w:t>
            </w:r>
          </w:p>
        </w:tc>
        <w:tc>
          <w:tcPr>
            <w:tcW w:type="dxa" w:w="1234"/>
          </w:tcPr>
          <w:p>
            <w:r>
              <w:rPr>
                <w:rFonts w:ascii="Calibri" w:hAnsi="Calibri"/>
                <w:sz w:val="22"/>
              </w:rPr>
              <w:t>$111M</w:t>
            </w:r>
          </w:p>
        </w:tc>
        <w:tc>
          <w:tcPr>
            <w:tcW w:type="dxa" w:w="1234"/>
          </w:tcPr>
          <w:p>
            <w:r>
              <w:rPr>
                <w:rFonts w:ascii="Calibri" w:hAnsi="Calibri"/>
                <w:sz w:val="22"/>
              </w:rPr>
              <w:t>$11M</w:t>
            </w:r>
          </w:p>
        </w:tc>
        <w:tc>
          <w:tcPr>
            <w:tcW w:type="dxa" w:w="1234"/>
          </w:tcPr>
          <w:p>
            <w:r>
              <w:rPr>
                <w:rFonts w:ascii="Calibri" w:hAnsi="Calibri"/>
                <w:sz w:val="22"/>
              </w:rPr>
              <w:t>$160M</w:t>
            </w:r>
          </w:p>
        </w:tc>
        <w:tc>
          <w:tcPr>
            <w:tcW w:type="dxa" w:w="1234"/>
          </w:tcPr>
          <w:p>
            <w:r>
              <w:rPr>
                <w:rFonts w:ascii="Calibri" w:hAnsi="Calibri"/>
                <w:sz w:val="22"/>
              </w:rPr>
              <w:t>+NM</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Net Interest Income</w:t>
            </w:r>
          </w:p>
        </w:tc>
        <w:tc>
          <w:tcPr>
            <w:tcW w:type="dxa" w:w="1234"/>
          </w:tcPr>
          <w:p>
            <w:r>
              <w:rPr>
                <w:rFonts w:ascii="Calibri" w:hAnsi="Calibri"/>
                <w:sz w:val="22"/>
              </w:rPr>
              <w:t>$359M</w:t>
            </w:r>
          </w:p>
        </w:tc>
        <w:tc>
          <w:tcPr>
            <w:tcW w:type="dxa" w:w="1234"/>
          </w:tcPr>
          <w:p>
            <w:r>
              <w:rPr>
                <w:rFonts w:ascii="Calibri" w:hAnsi="Calibri"/>
                <w:sz w:val="22"/>
              </w:rPr>
              <w:t>$357M</w:t>
            </w:r>
          </w:p>
        </w:tc>
        <w:tc>
          <w:tcPr>
            <w:tcW w:type="dxa" w:w="1234"/>
          </w:tcPr>
          <w:p>
            <w:r>
              <w:rPr>
                <w:rFonts w:ascii="Calibri" w:hAnsi="Calibri"/>
                <w:sz w:val="22"/>
              </w:rPr>
              <w:t>$388M</w:t>
            </w:r>
          </w:p>
        </w:tc>
        <w:tc>
          <w:tcPr>
            <w:tcW w:type="dxa" w:w="1234"/>
          </w:tcPr>
          <w:p>
            <w:r>
              <w:rPr>
                <w:rFonts w:ascii="Calibri" w:hAnsi="Calibri"/>
                <w:sz w:val="22"/>
              </w:rPr>
              <w:t>+8.7%</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Avg. Revenue Per User (ARPU)</w:t>
            </w:r>
          </w:p>
        </w:tc>
        <w:tc>
          <w:tcPr>
            <w:tcW w:type="dxa" w:w="1234"/>
          </w:tcPr>
          <w:p>
            <w:r>
              <w:rPr>
                <w:rFonts w:ascii="Calibri" w:hAnsi="Calibri"/>
                <w:sz w:val="22"/>
              </w:rPr>
              <w:t>$157</w:t>
            </w:r>
          </w:p>
        </w:tc>
        <w:tc>
          <w:tcPr>
            <w:tcW w:type="dxa" w:w="1234"/>
          </w:tcPr>
          <w:p>
            <w:r>
              <w:rPr>
                <w:rFonts w:ascii="Calibri" w:hAnsi="Calibri"/>
                <w:sz w:val="22"/>
              </w:rPr>
              <w:t>$151</w:t>
            </w:r>
          </w:p>
        </w:tc>
        <w:tc>
          <w:tcPr>
            <w:tcW w:type="dxa" w:w="1234"/>
          </w:tcPr>
          <w:p>
            <w:r>
              <w:rPr>
                <w:rFonts w:ascii="Calibri" w:hAnsi="Calibri"/>
                <w:sz w:val="22"/>
              </w:rPr>
              <w:t>$186</w:t>
            </w:r>
          </w:p>
        </w:tc>
        <w:tc>
          <w:tcPr>
            <w:tcW w:type="dxa" w:w="1234"/>
          </w:tcPr>
          <w:p>
            <w:r>
              <w:rPr>
                <w:rFonts w:ascii="Calibri" w:hAnsi="Calibri"/>
                <w:sz w:val="22"/>
              </w:rPr>
              <w:t>+23.2%</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Monthly Active Users (MAU)</w:t>
            </w:r>
          </w:p>
        </w:tc>
        <w:tc>
          <w:tcPr>
            <w:tcW w:type="dxa" w:w="1234"/>
          </w:tcPr>
          <w:p>
            <w:r>
              <w:rPr>
                <w:rFonts w:ascii="Calibri" w:hAnsi="Calibri"/>
                <w:sz w:val="22"/>
              </w:rPr>
              <w:t>13.5M</w:t>
            </w:r>
          </w:p>
        </w:tc>
        <w:tc>
          <w:tcPr>
            <w:tcW w:type="dxa" w:w="1234"/>
          </w:tcPr>
          <w:p>
            <w:r>
              <w:rPr>
                <w:rFonts w:ascii="Calibri" w:hAnsi="Calibri"/>
                <w:sz w:val="22"/>
              </w:rPr>
              <w:t>12.8M</w:t>
            </w:r>
          </w:p>
        </w:tc>
        <w:tc>
          <w:tcPr>
            <w:tcW w:type="dxa" w:w="1234"/>
          </w:tcPr>
          <w:p>
            <w:r>
              <w:rPr>
                <w:rFonts w:ascii="Calibri" w:hAnsi="Calibri"/>
                <w:sz w:val="22"/>
              </w:rPr>
              <w:t>13.8M</w:t>
            </w:r>
          </w:p>
        </w:tc>
        <w:tc>
          <w:tcPr>
            <w:tcW w:type="dxa" w:w="1234"/>
          </w:tcPr>
          <w:p>
            <w:r>
              <w:rPr>
                <w:rFonts w:ascii="Calibri" w:hAnsi="Calibri"/>
                <w:sz w:val="22"/>
              </w:rPr>
              <w:t>+7.8%</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Total Assets Under Custody</w:t>
            </w:r>
          </w:p>
        </w:tc>
        <w:tc>
          <w:tcPr>
            <w:tcW w:type="dxa" w:w="1234"/>
          </w:tcPr>
          <w:p>
            <w:r>
              <w:rPr>
                <w:rFonts w:ascii="Calibri" w:hAnsi="Calibri"/>
                <w:sz w:val="22"/>
              </w:rPr>
              <w:t>$307B</w:t>
            </w:r>
          </w:p>
        </w:tc>
        <w:tc>
          <w:tcPr>
            <w:tcW w:type="dxa" w:w="1234"/>
          </w:tcPr>
          <w:p>
            <w:r>
              <w:rPr>
                <w:rFonts w:ascii="Calibri" w:hAnsi="Calibri"/>
                <w:sz w:val="22"/>
              </w:rPr>
              <w:t>$279B</w:t>
            </w:r>
          </w:p>
        </w:tc>
        <w:tc>
          <w:tcPr>
            <w:tcW w:type="dxa" w:w="1234"/>
          </w:tcPr>
          <w:p>
            <w:r>
              <w:rPr>
                <w:rFonts w:ascii="Calibri" w:hAnsi="Calibri"/>
                <w:sz w:val="22"/>
              </w:rPr>
              <w:t>$358B</w:t>
            </w:r>
          </w:p>
        </w:tc>
        <w:tc>
          <w:tcPr>
            <w:tcW w:type="dxa" w:w="1234"/>
          </w:tcPr>
          <w:p>
            <w:r>
              <w:rPr>
                <w:rFonts w:ascii="Calibri" w:hAnsi="Calibri"/>
                <w:sz w:val="22"/>
              </w:rPr>
              <w:t>+28.3%</w:t>
            </w:r>
          </w:p>
        </w:tc>
        <w:tc>
          <w:tcPr>
            <w:tcW w:type="dxa" w:w="1234"/>
          </w:tcPr>
          <w:p>
            <w:r>
              <w:rPr>
                <w:rFonts w:ascii="Calibri" w:hAnsi="Calibri"/>
                <w:sz w:val="22"/>
              </w:rPr>
              <w:t>~$350B as of June 3 conference</w:t>
            </w:r>
          </w:p>
        </w:tc>
        <w:tc>
          <w:tcPr>
            <w:tcW w:type="dxa" w:w="1234"/>
          </w:tcPr>
          <w:p>
            <w:r>
              <w:rPr>
                <w:rFonts w:ascii="Calibri" w:hAnsi="Calibri"/>
                <w:sz w:val="22"/>
              </w:rPr>
              <w:t>Consensus above conf. update</w:t>
            </w:r>
          </w:p>
        </w:tc>
      </w:tr>
    </w:tbl>
    <w:p>
      <w:r>
        <w:rPr>
          <w:rFonts w:ascii="Calibri" w:hAnsi="Calibri"/>
          <w:i/>
          <w:color w:val="525866"/>
          <w:sz w:val="22"/>
        </w:rPr>
        <w:t>Source: Visible Alpha consensus and actuals data. Q2 2026 consensus as of July 28, 2026. Q1 2026 actuals reported April 28, 2026. Q2 2025 actuals reported July 2025.</w:t>
      </w:r>
    </w:p>
    <w:p>
      <w:pPr>
        <w:pStyle w:val="Heading3"/>
      </w:pPr>
      <w:r>
        <w:rPr>
          <w:rFonts w:ascii="Calibri" w:hAnsi="Calibri"/>
          <w:b/>
          <w:color w:val="3B4259"/>
          <w:sz w:val="24"/>
        </w:rPr>
        <w:t>Table 2 — Beat/Miss History (Last 8 Quarters, Top 2 KPIs)</w:t>
      </w:r>
    </w:p>
    <w:p>
      <w:r>
        <w:rPr>
          <w:rFonts w:ascii="Calibri" w:hAnsi="Calibri"/>
          <w:color w:val="525866"/>
          <w:sz w:val="22"/>
        </w:rPr>
        <w:t>Top 2 KPIs: Total Revenue &amp; Net Deposits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$1,067M</w:t>
            </w:r>
          </w:p>
        </w:tc>
        <w:tc>
          <w:tcPr>
            <w:tcW w:type="dxa" w:w="1440"/>
          </w:tcPr>
          <w:p>
            <w:r>
              <w:rPr>
                <w:rFonts w:ascii="Calibri" w:hAnsi="Calibri"/>
                <w:sz w:val="22"/>
              </w:rPr>
              <w:t>$1,126M</w:t>
            </w:r>
          </w:p>
        </w:tc>
        <w:tc>
          <w:tcPr>
            <w:tcW w:type="dxa" w:w="1440"/>
          </w:tcPr>
          <w:p>
            <w:r>
              <w:rPr>
                <w:rFonts w:ascii="Calibri" w:hAnsi="Calibri"/>
                <w:b/>
                <w:color w:val="E5484D"/>
                <w:sz w:val="22"/>
              </w:rPr>
              <w:t>-5.2%</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Net Deposits</w:t>
            </w:r>
          </w:p>
        </w:tc>
        <w:tc>
          <w:tcPr>
            <w:tcW w:type="dxa" w:w="1440"/>
          </w:tcPr>
          <w:p>
            <w:r>
              <w:rPr>
                <w:rFonts w:ascii="Calibri" w:hAnsi="Calibri"/>
                <w:sz w:val="22"/>
              </w:rPr>
              <w:t>$17.7B</w:t>
            </w:r>
          </w:p>
        </w:tc>
        <w:tc>
          <w:tcPr>
            <w:tcW w:type="dxa" w:w="1440"/>
          </w:tcPr>
          <w:p>
            <w:r>
              <w:rPr>
                <w:rFonts w:ascii="Calibri" w:hAnsi="Calibri"/>
                <w:sz w:val="22"/>
              </w:rPr>
              <w:t>$17.4B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$1,283M</w:t>
            </w:r>
          </w:p>
        </w:tc>
        <w:tc>
          <w:tcPr>
            <w:tcW w:type="dxa" w:w="1440"/>
          </w:tcPr>
          <w:p>
            <w:r>
              <w:rPr>
                <w:rFonts w:ascii="Calibri" w:hAnsi="Calibri"/>
                <w:sz w:val="22"/>
              </w:rPr>
              <w:t>$1,338M</w:t>
            </w:r>
          </w:p>
        </w:tc>
        <w:tc>
          <w:tcPr>
            <w:tcW w:type="dxa" w:w="1440"/>
          </w:tcPr>
          <w:p>
            <w:r>
              <w:rPr>
                <w:rFonts w:ascii="Calibri" w:hAnsi="Calibri"/>
                <w:b/>
                <w:color w:val="E5484D"/>
                <w:sz w:val="22"/>
              </w:rPr>
              <w:t>-4.1%</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Net Deposits</w:t>
            </w:r>
          </w:p>
        </w:tc>
        <w:tc>
          <w:tcPr>
            <w:tcW w:type="dxa" w:w="1440"/>
          </w:tcPr>
          <w:p>
            <w:r>
              <w:rPr>
                <w:rFonts w:ascii="Calibri" w:hAnsi="Calibri"/>
                <w:sz w:val="22"/>
              </w:rPr>
              <w:t>$15.9B</w:t>
            </w:r>
          </w:p>
        </w:tc>
        <w:tc>
          <w:tcPr>
            <w:tcW w:type="dxa" w:w="1440"/>
          </w:tcPr>
          <w:p>
            <w:r>
              <w:rPr>
                <w:rFonts w:ascii="Calibri" w:hAnsi="Calibri"/>
                <w:sz w:val="22"/>
              </w:rPr>
              <w:t>$20.8B</w:t>
            </w:r>
          </w:p>
        </w:tc>
        <w:tc>
          <w:tcPr>
            <w:tcW w:type="dxa" w:w="1440"/>
          </w:tcPr>
          <w:p>
            <w:r>
              <w:rPr>
                <w:rFonts w:ascii="Calibri" w:hAnsi="Calibri"/>
                <w:b/>
                <w:color w:val="E5484D"/>
                <w:sz w:val="22"/>
              </w:rPr>
              <w:t>-23.4%</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$1,274M</w:t>
            </w:r>
          </w:p>
        </w:tc>
        <w:tc>
          <w:tcPr>
            <w:tcW w:type="dxa" w:w="1440"/>
          </w:tcPr>
          <w:p>
            <w:r>
              <w:rPr>
                <w:rFonts w:ascii="Calibri" w:hAnsi="Calibri"/>
                <w:sz w:val="22"/>
              </w:rPr>
              <w:t>$1,202M</w:t>
            </w:r>
          </w:p>
        </w:tc>
        <w:tc>
          <w:tcPr>
            <w:tcW w:type="dxa" w:w="1440"/>
          </w:tcPr>
          <w:p>
            <w:r>
              <w:rPr>
                <w:rFonts w:ascii="Calibri" w:hAnsi="Calibri"/>
                <w:b/>
                <w:color w:val="30A46C"/>
                <w:sz w:val="22"/>
              </w:rPr>
              <w:t>+6.0%</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Deposits</w:t>
            </w:r>
          </w:p>
        </w:tc>
        <w:tc>
          <w:tcPr>
            <w:tcW w:type="dxa" w:w="1440"/>
          </w:tcPr>
          <w:p>
            <w:r>
              <w:rPr>
                <w:rFonts w:ascii="Calibri" w:hAnsi="Calibri"/>
                <w:sz w:val="22"/>
              </w:rPr>
              <w:t>$20.4B</w:t>
            </w:r>
          </w:p>
        </w:tc>
        <w:tc>
          <w:tcPr>
            <w:tcW w:type="dxa" w:w="1440"/>
          </w:tcPr>
          <w:p>
            <w:r>
              <w:rPr>
                <w:rFonts w:ascii="Calibri" w:hAnsi="Calibri"/>
                <w:sz w:val="22"/>
              </w:rPr>
              <w:t>$17.9B</w:t>
            </w:r>
          </w:p>
        </w:tc>
        <w:tc>
          <w:tcPr>
            <w:tcW w:type="dxa" w:w="1440"/>
          </w:tcPr>
          <w:p>
            <w:r>
              <w:rPr>
                <w:rFonts w:ascii="Calibri" w:hAnsi="Calibri"/>
                <w:b/>
                <w:color w:val="30A46C"/>
                <w:sz w:val="22"/>
              </w:rPr>
              <w:t>+13.9%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$989M</w:t>
            </w:r>
          </w:p>
        </w:tc>
        <w:tc>
          <w:tcPr>
            <w:tcW w:type="dxa" w:w="1440"/>
          </w:tcPr>
          <w:p>
            <w:r>
              <w:rPr>
                <w:rFonts w:ascii="Calibri" w:hAnsi="Calibri"/>
                <w:sz w:val="22"/>
              </w:rPr>
              <w:t>$920M</w:t>
            </w:r>
          </w:p>
        </w:tc>
        <w:tc>
          <w:tcPr>
            <w:tcW w:type="dxa" w:w="1440"/>
          </w:tcPr>
          <w:p>
            <w:r>
              <w:rPr>
                <w:rFonts w:ascii="Calibri" w:hAnsi="Calibri"/>
                <w:b/>
                <w:color w:val="30A46C"/>
                <w:sz w:val="22"/>
              </w:rPr>
              <w:t>+7.5%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Net Deposits</w:t>
            </w:r>
          </w:p>
        </w:tc>
        <w:tc>
          <w:tcPr>
            <w:tcW w:type="dxa" w:w="1440"/>
          </w:tcPr>
          <w:p>
            <w:r>
              <w:rPr>
                <w:rFonts w:ascii="Calibri" w:hAnsi="Calibri"/>
                <w:sz w:val="22"/>
              </w:rPr>
              <w:t>$13.8B</w:t>
            </w:r>
          </w:p>
        </w:tc>
        <w:tc>
          <w:tcPr>
            <w:tcW w:type="dxa" w:w="1440"/>
          </w:tcPr>
          <w:p>
            <w:r>
              <w:rPr>
                <w:rFonts w:ascii="Calibri" w:hAnsi="Calibri"/>
                <w:sz w:val="22"/>
              </w:rPr>
              <w:t>$15.5B</w:t>
            </w:r>
          </w:p>
        </w:tc>
        <w:tc>
          <w:tcPr>
            <w:tcW w:type="dxa" w:w="1440"/>
          </w:tcPr>
          <w:p>
            <w:r>
              <w:rPr>
                <w:rFonts w:ascii="Calibri" w:hAnsi="Calibri"/>
                <w:b/>
                <w:color w:val="E5484D"/>
                <w:sz w:val="22"/>
              </w:rPr>
              <w:t>-11.0%</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$927M</w:t>
            </w:r>
          </w:p>
        </w:tc>
        <w:tc>
          <w:tcPr>
            <w:tcW w:type="dxa" w:w="1440"/>
          </w:tcPr>
          <w:p>
            <w:r>
              <w:rPr>
                <w:rFonts w:ascii="Calibri" w:hAnsi="Calibri"/>
                <w:sz w:val="22"/>
              </w:rPr>
              <w:t>$916M</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Deposits</w:t>
            </w:r>
          </w:p>
        </w:tc>
        <w:tc>
          <w:tcPr>
            <w:tcW w:type="dxa" w:w="1440"/>
          </w:tcPr>
          <w:p>
            <w:r>
              <w:rPr>
                <w:rFonts w:ascii="Calibri" w:hAnsi="Calibri"/>
                <w:sz w:val="22"/>
              </w:rPr>
              <w:t>$18.0B</w:t>
            </w:r>
          </w:p>
        </w:tc>
        <w:tc>
          <w:tcPr>
            <w:tcW w:type="dxa" w:w="1440"/>
          </w:tcPr>
          <w:p>
            <w:r>
              <w:rPr>
                <w:rFonts w:ascii="Calibri" w:hAnsi="Calibri"/>
                <w:sz w:val="22"/>
              </w:rPr>
              <w:t>$15.5B</w:t>
            </w:r>
          </w:p>
        </w:tc>
        <w:tc>
          <w:tcPr>
            <w:tcW w:type="dxa" w:w="1440"/>
          </w:tcPr>
          <w:p>
            <w:r>
              <w:rPr>
                <w:rFonts w:ascii="Calibri" w:hAnsi="Calibri"/>
                <w:b/>
                <w:color w:val="30A46C"/>
                <w:sz w:val="22"/>
              </w:rPr>
              <w:t>+16.5%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$1,014M</w:t>
            </w:r>
          </w:p>
        </w:tc>
        <w:tc>
          <w:tcPr>
            <w:tcW w:type="dxa" w:w="1440"/>
          </w:tcPr>
          <w:p>
            <w:r>
              <w:rPr>
                <w:rFonts w:ascii="Calibri" w:hAnsi="Calibri"/>
                <w:sz w:val="22"/>
              </w:rPr>
              <w:t>$938M</w:t>
            </w:r>
          </w:p>
        </w:tc>
        <w:tc>
          <w:tcPr>
            <w:tcW w:type="dxa" w:w="1440"/>
          </w:tcPr>
          <w:p>
            <w:r>
              <w:rPr>
                <w:rFonts w:ascii="Calibri" w:hAnsi="Calibri"/>
                <w:b/>
                <w:color w:val="30A46C"/>
                <w:sz w:val="22"/>
              </w:rPr>
              <w:t>+8.1%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Deposits</w:t>
            </w:r>
          </w:p>
        </w:tc>
        <w:tc>
          <w:tcPr>
            <w:tcW w:type="dxa" w:w="1440"/>
          </w:tcPr>
          <w:p>
            <w:r>
              <w:rPr>
                <w:rFonts w:ascii="Calibri" w:hAnsi="Calibri"/>
                <w:sz w:val="22"/>
              </w:rPr>
              <w:t>$16.1B</w:t>
            </w:r>
          </w:p>
        </w:tc>
        <w:tc>
          <w:tcPr>
            <w:tcW w:type="dxa" w:w="1440"/>
          </w:tcPr>
          <w:p>
            <w:r>
              <w:rPr>
                <w:rFonts w:ascii="Calibri" w:hAnsi="Calibri"/>
                <w:sz w:val="22"/>
              </w:rPr>
              <w:t>$15.4B</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$637M</w:t>
            </w:r>
          </w:p>
        </w:tc>
        <w:tc>
          <w:tcPr>
            <w:tcW w:type="dxa" w:w="1440"/>
          </w:tcPr>
          <w:p>
            <w:r>
              <w:rPr>
                <w:rFonts w:ascii="Calibri" w:hAnsi="Calibri"/>
                <w:sz w:val="22"/>
              </w:rPr>
              <w:t>$652M</w:t>
            </w:r>
          </w:p>
        </w:tc>
        <w:tc>
          <w:tcPr>
            <w:tcW w:type="dxa" w:w="1440"/>
          </w:tcPr>
          <w:p>
            <w:r>
              <w:rPr>
                <w:rFonts w:ascii="Calibri" w:hAnsi="Calibri"/>
                <w:b/>
                <w:color w:val="E5484D"/>
                <w:sz w:val="22"/>
              </w:rPr>
              <w:t>-2.3%</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Net Deposits</w:t>
            </w:r>
          </w:p>
        </w:tc>
        <w:tc>
          <w:tcPr>
            <w:tcW w:type="dxa" w:w="1440"/>
          </w:tcPr>
          <w:p>
            <w:r>
              <w:rPr>
                <w:rFonts w:ascii="Calibri" w:hAnsi="Calibri"/>
                <w:sz w:val="22"/>
              </w:rPr>
              <w:t>$10.0B</w:t>
            </w:r>
          </w:p>
        </w:tc>
        <w:tc>
          <w:tcPr>
            <w:tcW w:type="dxa" w:w="1440"/>
          </w:tcPr>
          <w:p>
            <w:r>
              <w:rPr>
                <w:rFonts w:ascii="Calibri" w:hAnsi="Calibri"/>
                <w:sz w:val="22"/>
              </w:rPr>
              <w:t>$11.3B</w:t>
            </w:r>
          </w:p>
        </w:tc>
        <w:tc>
          <w:tcPr>
            <w:tcW w:type="dxa" w:w="1440"/>
          </w:tcPr>
          <w:p>
            <w:r>
              <w:rPr>
                <w:rFonts w:ascii="Calibri" w:hAnsi="Calibri"/>
                <w:b/>
                <w:color w:val="E5484D"/>
                <w:sz w:val="22"/>
              </w:rPr>
              <w:t>-11.5%</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$682M</w:t>
            </w:r>
          </w:p>
        </w:tc>
        <w:tc>
          <w:tcPr>
            <w:tcW w:type="dxa" w:w="1440"/>
          </w:tcPr>
          <w:p>
            <w:r>
              <w:rPr>
                <w:rFonts w:ascii="Calibri" w:hAnsi="Calibri"/>
                <w:sz w:val="22"/>
              </w:rPr>
              <w:t>$640M</w:t>
            </w:r>
          </w:p>
        </w:tc>
        <w:tc>
          <w:tcPr>
            <w:tcW w:type="dxa" w:w="1440"/>
          </w:tcPr>
          <w:p>
            <w:r>
              <w:rPr>
                <w:rFonts w:ascii="Calibri" w:hAnsi="Calibri"/>
                <w:b/>
                <w:color w:val="30A46C"/>
                <w:sz w:val="22"/>
              </w:rPr>
              <w:t>+6.6%</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Net Deposits</w:t>
            </w:r>
          </w:p>
        </w:tc>
        <w:tc>
          <w:tcPr>
            <w:tcW w:type="dxa" w:w="1440"/>
          </w:tcPr>
          <w:p>
            <w:r>
              <w:rPr>
                <w:rFonts w:ascii="Calibri" w:hAnsi="Calibri"/>
                <w:sz w:val="22"/>
              </w:rPr>
              <w:t>$13.2B</w:t>
            </w:r>
          </w:p>
        </w:tc>
        <w:tc>
          <w:tcPr>
            <w:tcW w:type="dxa" w:w="1440"/>
          </w:tcPr>
          <w:p>
            <w:r>
              <w:rPr>
                <w:rFonts w:ascii="Calibri" w:hAnsi="Calibri"/>
                <w:sz w:val="22"/>
              </w:rPr>
              <w:t>$12.2B</w:t>
            </w:r>
          </w:p>
        </w:tc>
        <w:tc>
          <w:tcPr>
            <w:tcW w:type="dxa" w:w="1440"/>
          </w:tcPr>
          <w:p>
            <w:r>
              <w:rPr>
                <w:rFonts w:ascii="Calibri" w:hAnsi="Calibri"/>
                <w:b/>
                <w:color w:val="30A46C"/>
                <w:sz w:val="22"/>
              </w:rPr>
              <w:t>+8.2%</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HOOD has beaten revenue consensus in 5 of the last 8 quarters, with the two most recent quarters (Q4 2025 and Q1 2026) both missing — driven by crypto revenue volatility. Net deposits show a more mixed pattern, beating in 5 of 8 quarters but with large misses when macro conditions weaken. The revenue beat rate is higher when crypto volumes are elevated; the current low crypto consensus bar sets up a potential positive surprise.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Management raised full-year OpEx guidance by $100M at Q1 earnings (Trump Accounts investment) but has not issued formal revenue guidance; tone has been </w:t>
      </w:r>
      <w:r>
        <w:rPr>
          <w:rFonts w:ascii="Calibri" w:hAnsi="Calibri"/>
          <w:b/>
          <w:color w:val="30A46C"/>
          <w:sz w:val="22"/>
        </w:rPr>
        <w:t>notably bullish</w:t>
      </w:r>
      <w:r>
        <w:rPr>
          <w:rFonts w:ascii="Calibri" w:hAnsi="Calibri"/>
          <w:b/>
          <w:color w:val="525866"/>
          <w:sz w:val="22"/>
        </w:rPr>
        <w:t xml:space="preserve"> at post-earnings conferences, citing record June trading volumes and framing the 10% workforce reduction as a strength-from-strength move.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(FY 2026)</w:t>
            </w:r>
          </w:p>
        </w:tc>
        <w:tc>
          <w:tcPr>
            <w:tcW w:type="dxa" w:w="1728"/>
          </w:tcPr>
          <w:p>
            <w:r>
              <w:rPr>
                <w:rFonts w:ascii="Calibri" w:hAnsi="Calibri"/>
                <w:sz w:val="22"/>
              </w:rPr>
              <w:t>No formal guidance provided</w:t>
            </w:r>
          </w:p>
        </w:tc>
        <w:tc>
          <w:tcPr>
            <w:tcW w:type="dxa" w:w="1728"/>
          </w:tcPr>
          <w:p>
            <w:r>
              <w:rPr>
                <w:rFonts w:ascii="Calibri" w:hAnsi="Calibri"/>
                <w:sz w:val="22"/>
              </w:rPr>
              <w:t>—</w:t>
            </w:r>
          </w:p>
        </w:tc>
        <w:tc>
          <w:tcPr>
            <w:tcW w:type="dxa" w:w="1728"/>
          </w:tcPr>
          <w:p>
            <w:r>
              <w:rPr>
                <w:rFonts w:ascii="Calibri" w:hAnsi="Calibri"/>
                <w:sz w:val="22"/>
              </w:rPr>
              <w:t>$5.11B</w:t>
            </w:r>
          </w:p>
        </w:tc>
        <w:tc>
          <w:tcPr>
            <w:tcW w:type="dxa" w:w="1728"/>
          </w:tcPr>
          <w:p>
            <w:r>
              <w:rPr>
                <w:rFonts w:ascii="Calibri" w:hAnsi="Calibri"/>
                <w:sz w:val="22"/>
              </w:rPr>
              <w:t>No formal revenue guidance; management tone bullish at June conferences citing record volumes</w:t>
            </w:r>
          </w:p>
        </w:tc>
      </w:tr>
      <w:tr>
        <w:tc>
          <w:tcPr>
            <w:tcW w:type="dxa" w:w="1728"/>
          </w:tcPr>
          <w:p>
            <w:r>
              <w:rPr>
                <w:rFonts w:ascii="Calibri" w:hAnsi="Calibri"/>
                <w:sz w:val="22"/>
              </w:rPr>
              <w:t>Adj. OpEx + SBC (FY 2026)</w:t>
            </w:r>
          </w:p>
        </w:tc>
        <w:tc>
          <w:tcPr>
            <w:tcW w:type="dxa" w:w="1728"/>
          </w:tcPr>
          <w:p>
            <w:r>
              <w:rPr>
                <w:rFonts w:ascii="Calibri" w:hAnsi="Calibri"/>
                <w:sz w:val="22"/>
              </w:rPr>
              <w:t>$2.60B–$2.725B (prior range)</w:t>
            </w:r>
          </w:p>
        </w:tc>
        <w:tc>
          <w:tcPr>
            <w:tcW w:type="dxa" w:w="1728"/>
          </w:tcPr>
          <w:p>
            <w:r>
              <w:rPr>
                <w:rFonts w:ascii="Calibri" w:hAnsi="Calibri"/>
                <w:sz w:val="22"/>
              </w:rPr>
              <w:t>$2.70B–$2.825B</w:t>
            </w:r>
          </w:p>
        </w:tc>
        <w:tc>
          <w:tcPr>
            <w:tcW w:type="dxa" w:w="1728"/>
          </w:tcPr>
          <w:p>
            <w:r>
              <w:rPr>
                <w:rFonts w:ascii="Calibri" w:hAnsi="Calibri"/>
                <w:sz w:val="22"/>
              </w:rPr>
              <w:t>N/A — not in VA</w:t>
            </w:r>
          </w:p>
        </w:tc>
        <w:tc>
          <w:tcPr>
            <w:tcW w:type="dxa" w:w="1728"/>
          </w:tcPr>
          <w:p>
            <w:r>
              <w:rPr>
                <w:rFonts w:ascii="Calibri" w:hAnsi="Calibri"/>
                <w:sz w:val="22"/>
              </w:rPr>
              <w:t>↑ Raised at Q1 2026 earnings call (Apr 28); $100M incremental Trump Accounts investment, ~half in Q2</w:t>
            </w:r>
          </w:p>
        </w:tc>
      </w:tr>
      <w:tr>
        <w:tc>
          <w:tcPr>
            <w:tcW w:type="dxa" w:w="1728"/>
          </w:tcPr>
          <w:p>
            <w:r>
              <w:rPr>
                <w:rFonts w:ascii="Calibri" w:hAnsi="Calibri"/>
                <w:sz w:val="22"/>
              </w:rPr>
              <w:t>Net Deposits Growth (Annualized)</w:t>
            </w:r>
          </w:p>
        </w:tc>
        <w:tc>
          <w:tcPr>
            <w:tcW w:type="dxa" w:w="1728"/>
          </w:tcPr>
          <w:p>
            <w:r>
              <w:rPr>
                <w:rFonts w:ascii="Calibri" w:hAnsi="Calibri"/>
                <w:sz w:val="22"/>
              </w:rPr>
              <w:t>20%+ annualized growth rate target</w:t>
            </w:r>
          </w:p>
        </w:tc>
        <w:tc>
          <w:tcPr>
            <w:tcW w:type="dxa" w:w="1728"/>
          </w:tcPr>
          <w:p>
            <w:r>
              <w:rPr>
                <w:rFonts w:ascii="Calibri" w:hAnsi="Calibri"/>
                <w:sz w:val="22"/>
              </w:rPr>
              <w:t>—</w:t>
            </w:r>
          </w:p>
        </w:tc>
        <w:tc>
          <w:tcPr>
            <w:tcW w:type="dxa" w:w="1728"/>
          </w:tcPr>
          <w:p>
            <w:r>
              <w:rPr>
                <w:rFonts w:ascii="Calibri" w:hAnsi="Calibri"/>
                <w:sz w:val="22"/>
              </w:rPr>
              <w:t>$18.7B (Q2 est.)</w:t>
            </w:r>
          </w:p>
        </w:tc>
        <w:tc>
          <w:tcPr>
            <w:tcW w:type="dxa" w:w="1728"/>
          </w:tcPr>
          <w:p>
            <w:r>
              <w:rPr>
                <w:rFonts w:ascii="Calibri" w:hAnsi="Calibri"/>
                <w:sz w:val="22"/>
              </w:rPr>
              <w:t>Unchanged; April MTD tracking at ~$5B; management confident in sustained momentum</w:t>
            </w:r>
          </w:p>
        </w:tc>
      </w:tr>
      <w:tr>
        <w:tc>
          <w:tcPr>
            <w:tcW w:type="dxa" w:w="1728"/>
          </w:tcPr>
          <w:p>
            <w:r>
              <w:rPr>
                <w:rFonts w:ascii="Calibri" w:hAnsi="Calibri"/>
                <w:sz w:val="22"/>
              </w:rPr>
              <w:t>Gold Subscribers</w:t>
            </w:r>
          </w:p>
        </w:tc>
        <w:tc>
          <w:tcPr>
            <w:tcW w:type="dxa" w:w="1728"/>
          </w:tcPr>
          <w:p>
            <w:r>
              <w:rPr>
                <w:rFonts w:ascii="Calibri" w:hAnsi="Calibri"/>
                <w:sz w:val="22"/>
              </w:rPr>
              <w:t>Continued strong growth; 40% new customer attach rate</w:t>
            </w:r>
          </w:p>
        </w:tc>
        <w:tc>
          <w:tcPr>
            <w:tcW w:type="dxa" w:w="1728"/>
          </w:tcPr>
          <w:p>
            <w:r>
              <w:rPr>
                <w:rFonts w:ascii="Calibri" w:hAnsi="Calibri"/>
                <w:sz w:val="22"/>
              </w:rPr>
              <w:t>—</w:t>
            </w:r>
          </w:p>
        </w:tc>
        <w:tc>
          <w:tcPr>
            <w:tcW w:type="dxa" w:w="1728"/>
          </w:tcPr>
          <w:p>
            <w:r>
              <w:rPr>
                <w:rFonts w:ascii="Calibri" w:hAnsi="Calibri"/>
                <w:sz w:val="22"/>
              </w:rPr>
              <w:t>4.59M (Q2 est.)</w:t>
            </w:r>
          </w:p>
        </w:tc>
        <w:tc>
          <w:tcPr>
            <w:tcW w:type="dxa" w:w="1728"/>
          </w:tcPr>
          <w:p>
            <w:r>
              <w:rPr>
                <w:rFonts w:ascii="Calibri" w:hAnsi="Calibri"/>
                <w:sz w:val="22"/>
              </w:rPr>
              <w:t>Unchanged; management noted ~4.5M as of June 3 conference, ahead of consensus</w:t>
            </w:r>
          </w:p>
        </w:tc>
      </w:tr>
      <w:tr>
        <w:tc>
          <w:tcPr>
            <w:tcW w:type="dxa" w:w="1728"/>
          </w:tcPr>
          <w:p>
            <w:r>
              <w:rPr>
                <w:rFonts w:ascii="Calibri" w:hAnsi="Calibri"/>
                <w:sz w:val="22"/>
              </w:rPr>
              <w:t>Crypto Revenue Tone</w:t>
            </w:r>
          </w:p>
        </w:tc>
        <w:tc>
          <w:tcPr>
            <w:tcW w:type="dxa" w:w="1728"/>
          </w:tcPr>
          <w:p>
            <w:r>
              <w:rPr>
                <w:rFonts w:ascii="Calibri" w:hAnsi="Calibri"/>
                <w:sz w:val="22"/>
              </w:rPr>
              <w:t>Take rate ~7 bps lower in April; stabilizing; crypto bullish long-term</w:t>
            </w:r>
          </w:p>
        </w:tc>
        <w:tc>
          <w:tcPr>
            <w:tcW w:type="dxa" w:w="1728"/>
          </w:tcPr>
          <w:p>
            <w:r>
              <w:rPr>
                <w:rFonts w:ascii="Calibri" w:hAnsi="Calibri"/>
                <w:sz w:val="22"/>
              </w:rPr>
              <w:t>—</w:t>
            </w:r>
          </w:p>
        </w:tc>
        <w:tc>
          <w:tcPr>
            <w:tcW w:type="dxa" w:w="1728"/>
          </w:tcPr>
          <w:p>
            <w:r>
              <w:rPr>
                <w:rFonts w:ascii="Calibri" w:hAnsi="Calibri"/>
                <w:sz w:val="22"/>
              </w:rPr>
              <w:t>$89M (Q2 est.)</w:t>
            </w:r>
          </w:p>
        </w:tc>
        <w:tc>
          <w:tcPr>
            <w:tcW w:type="dxa" w:w="1728"/>
          </w:tcPr>
          <w:p>
            <w:r>
              <w:rPr>
                <w:rFonts w:ascii="Calibri" w:hAnsi="Calibri"/>
                <w:sz w:val="22"/>
              </w:rPr>
              <w:t>Consensus has moved sharply lower (-33% vs. post-Q1 baseline); management flagged take rate stabilization in April</w:t>
            </w:r>
          </w:p>
        </w:tc>
      </w:tr>
      <w:tr>
        <w:tc>
          <w:tcPr>
            <w:tcW w:type="dxa" w:w="1728"/>
          </w:tcPr>
          <w:p>
            <w:r>
              <w:rPr>
                <w:rFonts w:ascii="Calibri" w:hAnsi="Calibri"/>
                <w:sz w:val="22"/>
              </w:rPr>
              <w:t>Prediction Markets Revenue</w:t>
            </w:r>
          </w:p>
        </w:tc>
        <w:tc>
          <w:tcPr>
            <w:tcW w:type="dxa" w:w="1728"/>
          </w:tcPr>
          <w:p>
            <w:r>
              <w:rPr>
                <w:rFonts w:ascii="Calibri" w:hAnsi="Calibri"/>
                <w:sz w:val="22"/>
              </w:rPr>
              <w:t>Rothera JV launch in Q2; April volumes ~$3B (2nd highest ever)</w:t>
            </w:r>
          </w:p>
        </w:tc>
        <w:tc>
          <w:tcPr>
            <w:tcW w:type="dxa" w:w="1728"/>
          </w:tcPr>
          <w:p>
            <w:r>
              <w:rPr>
                <w:rFonts w:ascii="Calibri" w:hAnsi="Calibri"/>
                <w:sz w:val="22"/>
              </w:rPr>
              <w:t>—</w:t>
            </w:r>
          </w:p>
        </w:tc>
        <w:tc>
          <w:tcPr>
            <w:tcW w:type="dxa" w:w="1728"/>
          </w:tcPr>
          <w:p>
            <w:r>
              <w:rPr>
                <w:rFonts w:ascii="Calibri" w:hAnsi="Calibri"/>
                <w:sz w:val="22"/>
              </w:rPr>
              <w:t>$160M (Q2 est.)</w:t>
            </w:r>
          </w:p>
        </w:tc>
        <w:tc>
          <w:tcPr>
            <w:tcW w:type="dxa" w:w="1728"/>
          </w:tcPr>
          <w:p>
            <w:r>
              <w:rPr>
                <w:rFonts w:ascii="Calibri" w:hAnsi="Calibri"/>
                <w:sz w:val="22"/>
              </w:rPr>
              <w:t>Rothera went live June 4; World Cup and MLB contracts migrated; record June volumes cited in June 16 8-K</w:t>
            </w:r>
          </w:p>
        </w:tc>
      </w:tr>
      <w:tr>
        <w:tc>
          <w:tcPr>
            <w:tcW w:type="dxa" w:w="1728"/>
          </w:tcPr>
          <w:p>
            <w:r>
              <w:rPr>
                <w:rFonts w:ascii="Calibri" w:hAnsi="Calibri"/>
                <w:sz w:val="22"/>
              </w:rPr>
              <w:t>Total Assets Under Custody</w:t>
            </w:r>
          </w:p>
        </w:tc>
        <w:tc>
          <w:tcPr>
            <w:tcW w:type="dxa" w:w="1728"/>
          </w:tcPr>
          <w:p>
            <w:r>
              <w:rPr>
                <w:rFonts w:ascii="Calibri" w:hAnsi="Calibri"/>
                <w:sz w:val="22"/>
              </w:rPr>
              <w:t>$307B at Q1 end</w:t>
            </w:r>
          </w:p>
        </w:tc>
        <w:tc>
          <w:tcPr>
            <w:tcW w:type="dxa" w:w="1728"/>
          </w:tcPr>
          <w:p>
            <w:r>
              <w:rPr>
                <w:rFonts w:ascii="Calibri" w:hAnsi="Calibri"/>
                <w:sz w:val="22"/>
              </w:rPr>
              <w:t>~$350B as of June 3 conference</w:t>
            </w:r>
          </w:p>
        </w:tc>
        <w:tc>
          <w:tcPr>
            <w:tcW w:type="dxa" w:w="1728"/>
          </w:tcPr>
          <w:p>
            <w:r>
              <w:rPr>
                <w:rFonts w:ascii="Calibri" w:hAnsi="Calibri"/>
                <w:sz w:val="22"/>
              </w:rPr>
              <w:t>$358B (Q2 est.)</w:t>
            </w:r>
          </w:p>
        </w:tc>
        <w:tc>
          <w:tcPr>
            <w:tcW w:type="dxa" w:w="1728"/>
          </w:tcPr>
          <w:p>
            <w:r>
              <w:rPr>
                <w:rFonts w:ascii="Calibri" w:hAnsi="Calibri"/>
                <w:sz w:val="22"/>
              </w:rPr>
              <w:t>↑ Updated at Piper Sandler conference June 3; reflects net deposit momentum + market appreciation</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moved </w:t>
      </w:r>
      <w:r>
        <w:rPr>
          <w:rFonts w:ascii="Calibri" w:hAnsi="Calibri"/>
          <w:b/>
          <w:color w:val="30A46C"/>
          <w:sz w:val="22"/>
        </w:rPr>
        <w:t>meaningfully higher</w:t>
      </w:r>
      <w:r>
        <w:rPr>
          <w:rFonts w:ascii="Calibri" w:hAnsi="Calibri"/>
          <w:b/>
          <w:color w:val="525866"/>
          <w:sz w:val="22"/>
        </w:rPr>
        <w:t xml:space="preserve"> since the Q1 print — Q2 revenue up ~$84M (+7%) and FY 2026 revenue up ~$155M (+3%) — reflecting the strong volume environment, but crypto consensus has been cut sharply, creating a low bar that could be the source of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Total Revenue (Q2 2026)</w:t>
            </w:r>
          </w:p>
        </w:tc>
        <w:tc>
          <w:tcPr>
            <w:tcW w:type="dxa" w:w="1080"/>
          </w:tcPr>
          <w:p>
            <w:r>
              <w:rPr>
                <w:rFonts w:ascii="Calibri" w:hAnsi="Calibri"/>
                <w:sz w:val="22"/>
              </w:rPr>
              <w:t>$1,201M</w:t>
            </w:r>
          </w:p>
        </w:tc>
        <w:tc>
          <w:tcPr>
            <w:tcW w:type="dxa" w:w="1080"/>
          </w:tcPr>
          <w:p>
            <w:r>
              <w:rPr>
                <w:rFonts w:ascii="Calibri" w:hAnsi="Calibri"/>
                <w:sz w:val="22"/>
              </w:rPr>
              <w:t>$1,285M</w:t>
            </w:r>
          </w:p>
        </w:tc>
        <w:tc>
          <w:tcPr>
            <w:tcW w:type="dxa" w:w="1080"/>
          </w:tcPr>
          <w:p>
            <w:r>
              <w:rPr>
                <w:rFonts w:ascii="Calibri" w:hAnsi="Calibri"/>
                <w:b/>
                <w:color w:val="30A46C"/>
                <w:sz w:val="22"/>
              </w:rPr>
              <w:t>+7.0%</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$4,952M</w:t>
            </w:r>
          </w:p>
        </w:tc>
        <w:tc>
          <w:tcPr>
            <w:tcW w:type="dxa" w:w="1080"/>
          </w:tcPr>
          <w:p>
            <w:r>
              <w:rPr>
                <w:rFonts w:ascii="Calibri" w:hAnsi="Calibri"/>
                <w:sz w:val="22"/>
              </w:rPr>
              <w:t>$5,107M</w:t>
            </w:r>
          </w:p>
        </w:tc>
        <w:tc>
          <w:tcPr>
            <w:tcW w:type="dxa" w:w="1080"/>
          </w:tcPr>
          <w:p>
            <w:r>
              <w:rPr>
                <w:rFonts w:ascii="Calibri" w:hAnsi="Calibri"/>
                <w:b/>
                <w:color w:val="30A46C"/>
                <w:sz w:val="22"/>
              </w:rPr>
              <w:t>+3.1%</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(Q2 2026)</w:t>
            </w:r>
          </w:p>
        </w:tc>
        <w:tc>
          <w:tcPr>
            <w:tcW w:type="dxa" w:w="1080"/>
          </w:tcPr>
          <w:p>
            <w:r>
              <w:rPr>
                <w:rFonts w:ascii="Calibri" w:hAnsi="Calibri"/>
                <w:sz w:val="22"/>
              </w:rPr>
              <w:t>$0.54</w:t>
            </w:r>
          </w:p>
        </w:tc>
        <w:tc>
          <w:tcPr>
            <w:tcW w:type="dxa" w:w="1080"/>
          </w:tcPr>
          <w:p>
            <w:r>
              <w:rPr>
                <w:rFonts w:ascii="Calibri" w:hAnsi="Calibri"/>
                <w:sz w:val="22"/>
              </w:rPr>
              <w:t>$0.57</w:t>
            </w:r>
          </w:p>
        </w:tc>
        <w:tc>
          <w:tcPr>
            <w:tcW w:type="dxa" w:w="1080"/>
          </w:tcPr>
          <w:p>
            <w:r>
              <w:rPr>
                <w:rFonts w:ascii="Calibri" w:hAnsi="Calibri"/>
                <w:b/>
                <w:color w:val="30A46C"/>
                <w:sz w:val="22"/>
              </w:rPr>
              <w:t>+5.6%</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(FY 2026)</w:t>
            </w:r>
          </w:p>
        </w:tc>
        <w:tc>
          <w:tcPr>
            <w:tcW w:type="dxa" w:w="1080"/>
          </w:tcPr>
          <w:p>
            <w:r>
              <w:rPr>
                <w:rFonts w:ascii="Calibri" w:hAnsi="Calibri"/>
                <w:sz w:val="22"/>
              </w:rPr>
              <w:t>$2.24</w:t>
            </w:r>
          </w:p>
        </w:tc>
        <w:tc>
          <w:tcPr>
            <w:tcW w:type="dxa" w:w="1080"/>
          </w:tcPr>
          <w:p>
            <w:r>
              <w:rPr>
                <w:rFonts w:ascii="Calibri" w:hAnsi="Calibri"/>
                <w:sz w:val="22"/>
              </w:rPr>
              <w:t>$2.45</w:t>
            </w:r>
          </w:p>
        </w:tc>
        <w:tc>
          <w:tcPr>
            <w:tcW w:type="dxa" w:w="1080"/>
          </w:tcPr>
          <w:p>
            <w:r>
              <w:rPr>
                <w:rFonts w:ascii="Calibri" w:hAnsi="Calibri"/>
                <w:b/>
                <w:color w:val="30A46C"/>
                <w:sz w:val="22"/>
              </w:rPr>
              <w:t>+9.4%</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Deposits (Q2 2026)</w:t>
            </w:r>
          </w:p>
        </w:tc>
        <w:tc>
          <w:tcPr>
            <w:tcW w:type="dxa" w:w="1080"/>
          </w:tcPr>
          <w:p>
            <w:r>
              <w:rPr>
                <w:rFonts w:ascii="Calibri" w:hAnsi="Calibri"/>
                <w:sz w:val="22"/>
              </w:rPr>
              <w:t>$16.7B</w:t>
            </w:r>
          </w:p>
        </w:tc>
        <w:tc>
          <w:tcPr>
            <w:tcW w:type="dxa" w:w="1080"/>
          </w:tcPr>
          <w:p>
            <w:r>
              <w:rPr>
                <w:rFonts w:ascii="Calibri" w:hAnsi="Calibri"/>
                <w:sz w:val="22"/>
              </w:rPr>
              <w:t>$18.7B</w:t>
            </w:r>
          </w:p>
        </w:tc>
        <w:tc>
          <w:tcPr>
            <w:tcW w:type="dxa" w:w="1080"/>
          </w:tcPr>
          <w:p>
            <w:r>
              <w:rPr>
                <w:rFonts w:ascii="Calibri" w:hAnsi="Calibri"/>
                <w:b/>
                <w:color w:val="30A46C"/>
                <w:sz w:val="22"/>
              </w:rPr>
              <w:t>+11.7%</w:t>
            </w:r>
          </w:p>
        </w:tc>
        <w:tc>
          <w:tcPr>
            <w:tcW w:type="dxa" w:w="1080"/>
          </w:tcPr>
          <w:p>
            <w:r>
              <w:rPr>
                <w:rFonts w:ascii="Calibri" w:hAnsi="Calibri"/>
                <w:sz w:val="22"/>
              </w:rPr>
              <w:t>20%+ annualized growth</w:t>
            </w:r>
          </w:p>
        </w:tc>
        <w:tc>
          <w:tcPr>
            <w:tcW w:type="dxa" w:w="1080"/>
          </w:tcPr>
          <w:p>
            <w:r>
              <w:rPr>
                <w:rFonts w:ascii="Calibri" w:hAnsi="Calibri"/>
                <w:sz w:val="22"/>
              </w:rPr>
              <w:t>20%+ annualized growth (unchanged)</w:t>
            </w:r>
          </w:p>
        </w:tc>
        <w:tc>
          <w:tcPr>
            <w:tcW w:type="dxa" w:w="1080"/>
          </w:tcPr>
          <w:p>
            <w:r>
              <w:rPr>
                <w:rFonts w:ascii="Calibri" w:hAnsi="Calibri"/>
                <w:sz w:val="22"/>
              </w:rPr>
              <w:t>Unchanged</w:t>
            </w:r>
          </w:p>
        </w:tc>
        <w:tc>
          <w:tcPr>
            <w:tcW w:type="dxa" w:w="1080"/>
          </w:tcPr>
          <w:p>
            <w:r>
              <w:rPr>
                <w:rFonts w:ascii="Calibri" w:hAnsi="Calibri"/>
                <w:sz w:val="22"/>
              </w:rPr>
              <w:t>Above target</w:t>
            </w:r>
          </w:p>
        </w:tc>
      </w:tr>
      <w:tr>
        <w:tc>
          <w:tcPr>
            <w:tcW w:type="dxa" w:w="1080"/>
          </w:tcPr>
          <w:p>
            <w:r>
              <w:rPr>
                <w:rFonts w:ascii="Calibri" w:hAnsi="Calibri"/>
                <w:sz w:val="22"/>
              </w:rPr>
              <w:t>Net Deposits (FY 2026)</w:t>
            </w:r>
          </w:p>
        </w:tc>
        <w:tc>
          <w:tcPr>
            <w:tcW w:type="dxa" w:w="1080"/>
          </w:tcPr>
          <w:p>
            <w:r>
              <w:rPr>
                <w:rFonts w:ascii="Calibri" w:hAnsi="Calibri"/>
                <w:sz w:val="22"/>
              </w:rPr>
              <w:t>$72.8B</w:t>
            </w:r>
          </w:p>
        </w:tc>
        <w:tc>
          <w:tcPr>
            <w:tcW w:type="dxa" w:w="1080"/>
          </w:tcPr>
          <w:p>
            <w:r>
              <w:rPr>
                <w:rFonts w:ascii="Calibri" w:hAnsi="Calibri"/>
                <w:sz w:val="22"/>
              </w:rPr>
              <w:t>$77.7B</w:t>
            </w:r>
          </w:p>
        </w:tc>
        <w:tc>
          <w:tcPr>
            <w:tcW w:type="dxa" w:w="1080"/>
          </w:tcPr>
          <w:p>
            <w:r>
              <w:rPr>
                <w:rFonts w:ascii="Calibri" w:hAnsi="Calibri"/>
                <w:b/>
                <w:color w:val="30A46C"/>
                <w:sz w:val="22"/>
              </w:rPr>
              <w:t>+6.7%</w:t>
            </w:r>
          </w:p>
        </w:tc>
        <w:tc>
          <w:tcPr>
            <w:tcW w:type="dxa" w:w="1080"/>
          </w:tcPr>
          <w:p>
            <w:r>
              <w:rPr>
                <w:rFonts w:ascii="Calibri" w:hAnsi="Calibri"/>
                <w:sz w:val="22"/>
              </w:rPr>
              <w:t>20%+ annualized growth</w:t>
            </w:r>
          </w:p>
        </w:tc>
        <w:tc>
          <w:tcPr>
            <w:tcW w:type="dxa" w:w="1080"/>
          </w:tcPr>
          <w:p>
            <w:r>
              <w:rPr>
                <w:rFonts w:ascii="Calibri" w:hAnsi="Calibri"/>
                <w:sz w:val="22"/>
              </w:rPr>
              <w:t>20%+ annualized growth (unchanged)</w:t>
            </w:r>
          </w:p>
        </w:tc>
        <w:tc>
          <w:tcPr>
            <w:tcW w:type="dxa" w:w="1080"/>
          </w:tcPr>
          <w:p>
            <w:r>
              <w:rPr>
                <w:rFonts w:ascii="Calibri" w:hAnsi="Calibri"/>
                <w:sz w:val="22"/>
              </w:rPr>
              <w:t>Unchanged</w:t>
            </w:r>
          </w:p>
        </w:tc>
        <w:tc>
          <w:tcPr>
            <w:tcW w:type="dxa" w:w="1080"/>
          </w:tcPr>
          <w:p>
            <w:r>
              <w:rPr>
                <w:rFonts w:ascii="Calibri" w:hAnsi="Calibri"/>
                <w:sz w:val="22"/>
              </w:rPr>
              <w:t>Above target</w:t>
            </w:r>
          </w:p>
        </w:tc>
      </w:tr>
      <w:tr>
        <w:tc>
          <w:tcPr>
            <w:tcW w:type="dxa" w:w="1080"/>
          </w:tcPr>
          <w:p>
            <w:r>
              <w:rPr>
                <w:rFonts w:ascii="Calibri" w:hAnsi="Calibri"/>
                <w:sz w:val="22"/>
              </w:rPr>
              <w:t>Crypto Revenue (Q2 2026)</w:t>
            </w:r>
          </w:p>
        </w:tc>
        <w:tc>
          <w:tcPr>
            <w:tcW w:type="dxa" w:w="1080"/>
          </w:tcPr>
          <w:p>
            <w:r>
              <w:rPr>
                <w:rFonts w:ascii="Calibri" w:hAnsi="Calibri"/>
                <w:sz w:val="22"/>
              </w:rPr>
              <w:t>$133M</w:t>
            </w:r>
          </w:p>
        </w:tc>
        <w:tc>
          <w:tcPr>
            <w:tcW w:type="dxa" w:w="1080"/>
          </w:tcPr>
          <w:p>
            <w:r>
              <w:rPr>
                <w:rFonts w:ascii="Calibri" w:hAnsi="Calibri"/>
                <w:sz w:val="22"/>
              </w:rPr>
              <w:t>$89M</w:t>
            </w:r>
          </w:p>
        </w:tc>
        <w:tc>
          <w:tcPr>
            <w:tcW w:type="dxa" w:w="1080"/>
          </w:tcPr>
          <w:p>
            <w:r>
              <w:rPr>
                <w:rFonts w:ascii="Calibri" w:hAnsi="Calibri"/>
                <w:b/>
                <w:color w:val="E5484D"/>
                <w:sz w:val="22"/>
              </w:rPr>
              <w:t>-33.1%</w:t>
            </w:r>
          </w:p>
        </w:tc>
        <w:tc>
          <w:tcPr>
            <w:tcW w:type="dxa" w:w="1080"/>
          </w:tcPr>
          <w:p>
            <w:r>
              <w:rPr>
                <w:rFonts w:ascii="Calibri" w:hAnsi="Calibri"/>
                <w:sz w:val="22"/>
              </w:rPr>
              <w:t>No formal guidance; take rate stabilizing</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Prediction Markets Rev. (Q2 2026)</w:t>
            </w:r>
          </w:p>
        </w:tc>
        <w:tc>
          <w:tcPr>
            <w:tcW w:type="dxa" w:w="1080"/>
          </w:tcPr>
          <w:p>
            <w:r>
              <w:rPr>
                <w:rFonts w:ascii="Calibri" w:hAnsi="Calibri"/>
                <w:sz w:val="22"/>
              </w:rPr>
              <w:t>$108M</w:t>
            </w:r>
          </w:p>
        </w:tc>
        <w:tc>
          <w:tcPr>
            <w:tcW w:type="dxa" w:w="1080"/>
          </w:tcPr>
          <w:p>
            <w:r>
              <w:rPr>
                <w:rFonts w:ascii="Calibri" w:hAnsi="Calibri"/>
                <w:sz w:val="22"/>
              </w:rPr>
              <w:t>$160M</w:t>
            </w:r>
          </w:p>
        </w:tc>
        <w:tc>
          <w:tcPr>
            <w:tcW w:type="dxa" w:w="1080"/>
          </w:tcPr>
          <w:p>
            <w:r>
              <w:rPr>
                <w:rFonts w:ascii="Calibri" w:hAnsi="Calibri"/>
                <w:b/>
                <w:color w:val="30A46C"/>
                <w:sz w:val="22"/>
              </w:rPr>
              <w:t>+48.1%</w:t>
            </w:r>
          </w:p>
        </w:tc>
        <w:tc>
          <w:tcPr>
            <w:tcW w:type="dxa" w:w="1080"/>
          </w:tcPr>
          <w:p>
            <w:r>
              <w:rPr>
                <w:rFonts w:ascii="Calibri" w:hAnsi="Calibri"/>
                <w:sz w:val="22"/>
              </w:rPr>
              <w:t>Rothera JV launch in Q2; April ~$3B volume</w:t>
            </w:r>
          </w:p>
        </w:tc>
        <w:tc>
          <w:tcPr>
            <w:tcW w:type="dxa" w:w="1080"/>
          </w:tcPr>
          <w:p>
            <w:r>
              <w:rPr>
                <w:rFonts w:ascii="Calibri" w:hAnsi="Calibri"/>
                <w:sz w:val="22"/>
              </w:rPr>
              <w:t>Rothera live June 4; record June volumes</w:t>
            </w:r>
          </w:p>
        </w:tc>
        <w:tc>
          <w:tcPr>
            <w:tcW w:type="dxa" w:w="1080"/>
          </w:tcPr>
          <w:p>
            <w:r>
              <w:rPr>
                <w:rFonts w:ascii="Calibri" w:hAnsi="Calibri"/>
                <w:sz w:val="22"/>
              </w:rPr>
              <w:t>Positive</w:t>
            </w:r>
          </w:p>
        </w:tc>
        <w:tc>
          <w:tcPr>
            <w:tcW w:type="dxa" w:w="1080"/>
          </w:tcPr>
          <w:p>
            <w:r>
              <w:rPr>
                <w:rFonts w:ascii="Calibri" w:hAnsi="Calibri"/>
                <w:sz w:val="22"/>
              </w:rPr>
              <w:t>N/A</w:t>
            </w:r>
          </w:p>
        </w:tc>
      </w:tr>
      <w:tr>
        <w:tc>
          <w:tcPr>
            <w:tcW w:type="dxa" w:w="1080"/>
          </w:tcPr>
          <w:p>
            <w:r>
              <w:rPr>
                <w:rFonts w:ascii="Calibri" w:hAnsi="Calibri"/>
                <w:sz w:val="22"/>
              </w:rPr>
              <w:t>Adj. Operating EBITDA (Q2 2026)</w:t>
            </w:r>
          </w:p>
        </w:tc>
        <w:tc>
          <w:tcPr>
            <w:tcW w:type="dxa" w:w="1080"/>
          </w:tcPr>
          <w:p>
            <w:r>
              <w:rPr>
                <w:rFonts w:ascii="Calibri" w:hAnsi="Calibri"/>
                <w:sz w:val="22"/>
              </w:rPr>
              <w:t>$565M</w:t>
            </w:r>
          </w:p>
        </w:tc>
        <w:tc>
          <w:tcPr>
            <w:tcW w:type="dxa" w:w="1080"/>
          </w:tcPr>
          <w:p>
            <w:r>
              <w:rPr>
                <w:rFonts w:ascii="Calibri" w:hAnsi="Calibri"/>
                <w:sz w:val="22"/>
              </w:rPr>
              <w:t>$623M</w:t>
            </w:r>
          </w:p>
        </w:tc>
        <w:tc>
          <w:tcPr>
            <w:tcW w:type="dxa" w:w="1080"/>
          </w:tcPr>
          <w:p>
            <w:r>
              <w:rPr>
                <w:rFonts w:ascii="Calibri" w:hAnsi="Calibri"/>
                <w:b/>
                <w:color w:val="30A46C"/>
                <w:sz w:val="22"/>
              </w:rPr>
              <w:t>+10.3%</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EBITDA (FY 2026)</w:t>
            </w:r>
          </w:p>
        </w:tc>
        <w:tc>
          <w:tcPr>
            <w:tcW w:type="dxa" w:w="1080"/>
          </w:tcPr>
          <w:p>
            <w:r>
              <w:rPr>
                <w:rFonts w:ascii="Calibri" w:hAnsi="Calibri"/>
                <w:sz w:val="22"/>
              </w:rPr>
              <w:t>$2,488M</w:t>
            </w:r>
          </w:p>
        </w:tc>
        <w:tc>
          <w:tcPr>
            <w:tcW w:type="dxa" w:w="1080"/>
          </w:tcPr>
          <w:p>
            <w:r>
              <w:rPr>
                <w:rFonts w:ascii="Calibri" w:hAnsi="Calibri"/>
                <w:sz w:val="22"/>
              </w:rPr>
              <w:t>$2,644M</w:t>
            </w:r>
          </w:p>
        </w:tc>
        <w:tc>
          <w:tcPr>
            <w:tcW w:type="dxa" w:w="1080"/>
          </w:tcPr>
          <w:p>
            <w:r>
              <w:rPr>
                <w:rFonts w:ascii="Calibri" w:hAnsi="Calibri"/>
                <w:b/>
                <w:color w:val="30A46C"/>
                <w:sz w:val="22"/>
              </w:rPr>
              <w:t>+6.3%</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have broadly moved higher since the Q1 print, with the most notable revision being prediction markets revenue (+48% since the post-Q1 baseline), reflecting Rothera's launch and record June volumes. Crypto revenue consensus has been cut sharply (-33%), creating a low bar that could be the biggest source of upside surprise. The OpEx guidance raise ($100M for Trump Accounts) is the only formal guidance change since Q1 earnings.</w:t>
      </w:r>
    </w:p>
    <w:p>
      <w:r>
        <w:rPr>
          <w:rFonts w:ascii="Calibri" w:hAnsi="Calibri"/>
          <w:i/>
          <w:color w:val="525866"/>
          <w:sz w:val="22"/>
        </w:rPr>
        <w:t>Source: Visible Alpha consensus data. Post-Q1 baseline as of May 5, 2026 (5 trading days after April 28, 2026 earnings). Current consensus as of July 28,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HOOD has significantly outperformed both the Capital Markets ETF (KCE) and the S&amp;P 500 since Q1 earnings, driven by a powerful combination of </w:t>
      </w:r>
      <w:r>
        <w:rPr>
          <w:rFonts w:ascii="Calibri" w:hAnsi="Calibri"/>
          <w:b/>
          <w:color w:val="30A46C"/>
          <w:sz w:val="22"/>
        </w:rPr>
        <w:t>multiple expansion and positive estimate revisions</w:t>
      </w:r>
      <w:r>
        <w:rPr>
          <w:rFonts w:ascii="Calibri" w:hAnsi="Calibri"/>
          <w:b/>
          <w:color w:val="525866"/>
          <w:sz w:val="22"/>
        </w:rPr>
        <w:t xml:space="preserve"> — the stock's +13% gain from the post-earnings low reflects the market pricing in the strong volume environment, PDT elimination, and Rothera launch, though the recent pullback from the $117 peak suggests some near-term caution ahead of the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HOOD vs. KCE (Capital Markets ETF) vs. S&amp;P 500 — Indexed to 100 at Q1 2026 Earnings (Apr 28, 2026). Source: Yahoo Finance / Stock Price Data.</w:t>
      </w:r>
    </w:p>
    <w:p>
      <w:r>
        <w:rPr>
          <w:rFonts w:ascii="Calibri" w:hAnsi="Calibri"/>
          <w:color w:val="525866"/>
          <w:sz w:val="22"/>
        </w:rPr>
        <w:t>HOOD opened Q2 earnings season down ~13% from the prior close (Apr 28 post-earnings: $82.07 vs. prior close ~$94), as the Q1 revenue miss and crypto weakness weighed on sentiment. The stock then staged a powerful recovery through May and June, driven by: (1) the Agentic AI product launch (May 27–28), which catalyzed a sharp two-day rally from ~$76 to ~$94; (2) the Rothera prediction markets exchange going live (June 4) and PDT rule elimination; and (3) the $2.2B convertible note offering with concurrent share repurchase (June 22–25), which pushed the stock to a peak of ~$117 on July 6. The subsequent pullback to ~$93 by July 28 reflects pre-earnings caution and some profit-taking after the 43% rally from the post-Q1 low. HOOD has returned approximately +13% since the Q1 earnings date (indexed to 100 at $82.07), versus KCE +6.8% and SPY +4.1% over the same period, demonstrating meaningful alpha generation driven by company-specific catalysts rather than sector or market tailwinds.</w:t>
      </w:r>
    </w:p>
    <w:p>
      <w:r>
        <w:rPr>
          <w:rFonts w:ascii="Calibri" w:hAnsi="Calibri"/>
          <w:b/>
          <w:color w:val="525866"/>
          <w:sz w:val="22"/>
        </w:rPr>
        <w:t xml:space="preserve">Sector ETF used: </w:t>
      </w:r>
      <w:r>
        <w:rPr>
          <w:rFonts w:ascii="Calibri" w:hAnsi="Calibri"/>
          <w:color w:val="525866"/>
          <w:sz w:val="22"/>
        </w:rPr>
        <w:t>KCE (SPDR S&amp;P Capital Markets ETF) — appropriate for HOOD's capital markets / brokerage sub-sector.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b/>
          <w:color w:val="525866"/>
          <w:sz w:val="22"/>
        </w:rPr>
        <w:t xml:space="preserve">The most important development since Q1 earnings is the </w:t>
      </w:r>
      <w:r>
        <w:rPr>
          <w:rFonts w:ascii="Calibri" w:hAnsi="Calibri"/>
          <w:b/>
          <w:color w:val="30A46C"/>
          <w:sz w:val="22"/>
        </w:rPr>
        <w:t>record June trading volumes across equities, options, and prediction markets</w:t>
      </w:r>
      <w:r>
        <w:rPr>
          <w:rFonts w:ascii="Calibri" w:hAnsi="Calibri"/>
          <w:b/>
          <w:color w:val="525866"/>
          <w:sz w:val="22"/>
        </w:rPr>
        <w:t xml:space="preserve"> — confirmed in the June 16 8-K — which directly de-risks the Q2 revenue print and suggests consensus may be beatable despite the elevated bar.</w:t>
      </w:r>
    </w:p>
    <w:p>
      <w:pPr>
        <w:pStyle w:val="ListBullet"/>
        <w:ind w:left="360" w:hanging="360"/>
      </w:pPr>
      <w:r>
        <w:rPr>
          <w:rFonts w:ascii="Calibri" w:hAnsi="Calibri"/>
          <w:b/>
          <w:color w:val="525866"/>
          <w:sz w:val="22"/>
        </w:rPr>
        <w:t xml:space="preserve">June 16, 2026 — 10% Workforce Reduction (8-K): </w:t>
      </w:r>
      <w:r>
        <w:rPr>
          <w:rFonts w:ascii="Calibri" w:hAnsi="Calibri"/>
          <w:color w:val="525866"/>
          <w:sz w:val="22"/>
        </w:rPr>
        <w:t xml:space="preserve">Robinhood announced a ~10% reduction in full-time employees, framed explicitly "from a position of business strength," citing "June month-to-date average daily trading volumes at record levels across equities, options, and prediction markets." Estimated charges of ~$20M cash + ~$8M SBC, to be recognized in Q2 2026. </w:t>
      </w:r>
      <w:r>
        <w:rPr>
          <w:rFonts w:ascii="Calibri" w:hAnsi="Calibri"/>
          <w:i/>
          <w:color w:val="525866"/>
          <w:sz w:val="22"/>
        </w:rPr>
        <w:t xml:space="preserve">Implication: </w:t>
      </w:r>
      <w:r>
        <w:rPr>
          <w:rFonts w:ascii="Calibri" w:hAnsi="Calibri"/>
          <w:i/>
          <w:color w:val="525866"/>
          <w:sz w:val="22"/>
        </w:rPr>
        <w:t>Confirms record Q2 volumes (bullish for revenue) while signaling structural cost discipline; the $28M charge will be a Q2 GAAP headwind but is excluded from adjusted EBITDA.</w:t>
      </w:r>
    </w:p>
    <w:p>
      <w:pPr>
        <w:pStyle w:val="ListBullet"/>
        <w:ind w:left="360" w:hanging="360"/>
      </w:pPr>
      <w:r>
        <w:rPr>
          <w:rFonts w:ascii="Calibri" w:hAnsi="Calibri"/>
          <w:b/>
          <w:color w:val="525866"/>
          <w:sz w:val="22"/>
        </w:rPr>
        <w:t xml:space="preserve">June 25, 2026 — $2.2B Zero-Coupon Convertible Note Offering + Share Repurchase (8-K): </w:t>
      </w:r>
      <w:r>
        <w:rPr>
          <w:rFonts w:ascii="Calibri" w:hAnsi="Calibri"/>
          <w:color w:val="525866"/>
          <w:sz w:val="22"/>
        </w:rPr>
        <w:t xml:space="preserve">Robinhood completed a $2.2B offering of 0.00% convertible senior notes due 2029 (conversion price ~$174.42/share, 65% premium to then-price). Used ~$290M of proceeds to repurchase 2.74M shares at $105.71. Entered capped call transactions (cap price ~$237.85/share) to limit dilution. </w:t>
      </w:r>
      <w:r>
        <w:rPr>
          <w:rFonts w:ascii="Calibri" w:hAnsi="Calibri"/>
          <w:i/>
          <w:color w:val="525866"/>
          <w:sz w:val="22"/>
        </w:rPr>
        <w:t xml:space="preserve">Implication: </w:t>
      </w:r>
      <w:r>
        <w:rPr>
          <w:rFonts w:ascii="Calibri" w:hAnsi="Calibri"/>
          <w:i/>
          <w:color w:val="525866"/>
          <w:sz w:val="22"/>
        </w:rPr>
        <w:t>Significant capital raise with no interest cost; buyback is accretive to EPS; capped calls limit dilution up to ~$238/share. Raises balance sheet firepower for M&amp;A or further buybacks.</w:t>
      </w:r>
    </w:p>
    <w:p>
      <w:pPr>
        <w:pStyle w:val="ListBullet"/>
        <w:ind w:left="360" w:hanging="360"/>
      </w:pPr>
      <w:r>
        <w:rPr>
          <w:rFonts w:ascii="Calibri" w:hAnsi="Calibri"/>
          <w:b/>
          <w:color w:val="525866"/>
          <w:sz w:val="22"/>
        </w:rPr>
        <w:t xml:space="preserve">June 4, 2026 — Rothera Prediction Markets Exchange Goes Live: </w:t>
      </w:r>
      <w:r>
        <w:rPr>
          <w:rFonts w:ascii="Calibri" w:hAnsi="Calibri"/>
          <w:color w:val="525866"/>
          <w:sz w:val="22"/>
        </w:rPr>
        <w:t xml:space="preserve">The Robinhood-Susquehanna JV exchange launched with World Cup and MLB contracts migrated from Kalshi. Management reported meaningful early trading volume in its first weekend. </w:t>
      </w:r>
      <w:r>
        <w:rPr>
          <w:rFonts w:ascii="Calibri" w:hAnsi="Calibri"/>
          <w:i/>
          <w:color w:val="525866"/>
          <w:sz w:val="22"/>
        </w:rPr>
        <w:t xml:space="preserve">Implication: </w:t>
      </w:r>
      <w:r>
        <w:rPr>
          <w:rFonts w:ascii="Calibri" w:hAnsi="Calibri"/>
          <w:i/>
          <w:color w:val="525866"/>
          <w:sz w:val="22"/>
        </w:rPr>
        <w:t>Vertical integration enables pricing innovation and margin improvement in prediction markets; institutional inbounds already received; international expansion under discussion.</w:t>
      </w:r>
    </w:p>
    <w:p>
      <w:pPr>
        <w:pStyle w:val="ListBullet"/>
        <w:ind w:left="360" w:hanging="360"/>
      </w:pPr>
      <w:r>
        <w:rPr>
          <w:rFonts w:ascii="Calibri" w:hAnsi="Calibri"/>
          <w:b/>
          <w:color w:val="525866"/>
          <w:sz w:val="22"/>
        </w:rPr>
        <w:t xml:space="preserve">June 4, 2026 — PDT Rule Elimination Effective: </w:t>
      </w:r>
      <w:r>
        <w:rPr>
          <w:rFonts w:ascii="Calibri" w:hAnsi="Calibri"/>
          <w:color w:val="525866"/>
          <w:sz w:val="22"/>
        </w:rPr>
        <w:t xml:space="preserve">SEC formally eliminated the $25K Pattern Day Trader minimum balance requirement. Robinhood immediately contacted all former customers who left due to PDT restrictions. </w:t>
      </w:r>
      <w:r>
        <w:rPr>
          <w:rFonts w:ascii="Calibri" w:hAnsi="Calibri"/>
          <w:i/>
          <w:color w:val="525866"/>
          <w:sz w:val="22"/>
        </w:rPr>
        <w:t xml:space="preserve">Implication: </w:t>
      </w:r>
      <w:r>
        <w:rPr>
          <w:rFonts w:ascii="Calibri" w:hAnsi="Calibri"/>
          <w:i/>
          <w:color w:val="525866"/>
          <w:sz w:val="22"/>
        </w:rPr>
        <w:t>Disproportionately positive for HOOD given smaller average account size vs. legacy brokers; management views re-acquisition of former PDT-flagged customers as a concrete near-term volume catalyst.</w:t>
      </w:r>
    </w:p>
    <w:p>
      <w:pPr>
        <w:pStyle w:val="ListBullet"/>
        <w:ind w:left="360" w:hanging="360"/>
      </w:pPr>
      <w:r>
        <w:rPr>
          <w:rFonts w:ascii="Calibri" w:hAnsi="Calibri"/>
          <w:b/>
          <w:color w:val="525866"/>
          <w:sz w:val="22"/>
        </w:rPr>
        <w:t xml:space="preserve">June 3, 2026 — Robinhood Advisor Network Formally Launched (SYNERGY26 Conference): </w:t>
      </w:r>
      <w:r>
        <w:rPr>
          <w:rFonts w:ascii="Calibri" w:hAnsi="Calibri"/>
          <w:color w:val="525866"/>
          <w:sz w:val="22"/>
        </w:rPr>
        <w:t xml:space="preserve">Launched at the Piper Sandler conference in Washington D.C.; rollout to eligible customers began the following week. Connects customers with RIAs on TradePMR via in-app video-based advisor matching. </w:t>
      </w:r>
      <w:r>
        <w:rPr>
          <w:rFonts w:ascii="Calibri" w:hAnsi="Calibri"/>
          <w:i/>
          <w:color w:val="525866"/>
          <w:sz w:val="22"/>
        </w:rPr>
        <w:t xml:space="preserve">Implication: </w:t>
      </w:r>
      <w:r>
        <w:rPr>
          <w:rFonts w:ascii="Calibri" w:hAnsi="Calibri"/>
          <w:i/>
          <w:color w:val="525866"/>
          <w:sz w:val="22"/>
        </w:rPr>
        <w:t>Opens wealth management cross-sell opportunity; management describes wealth management TAM as meaningfully larger than self-directed TAM.</w:t>
      </w:r>
    </w:p>
    <w:p>
      <w:pPr>
        <w:pStyle w:val="ListBullet"/>
        <w:ind w:left="360" w:hanging="360"/>
      </w:pPr>
      <w:r>
        <w:rPr>
          <w:rFonts w:ascii="Calibri" w:hAnsi="Calibri"/>
          <w:b/>
          <w:color w:val="525866"/>
          <w:sz w:val="22"/>
        </w:rPr>
        <w:t xml:space="preserve">May 27–29, 2026 — Agentic AI Product Launches: </w:t>
      </w:r>
      <w:r>
        <w:rPr>
          <w:rFonts w:ascii="Calibri" w:hAnsi="Calibri"/>
          <w:color w:val="525866"/>
          <w:sz w:val="22"/>
        </w:rPr>
        <w:t xml:space="preserve">Robinhood launched Agentic Trading (equities in beta via MCP servers) and an Agentic Credit Card for Gold Card holders. CFTC also approved the first regulated Bitcoin perpetual futures contract in the U.S. (via Kalshi) on May 29. </w:t>
      </w:r>
      <w:r>
        <w:rPr>
          <w:rFonts w:ascii="Calibri" w:hAnsi="Calibri"/>
          <w:i/>
          <w:color w:val="525866"/>
          <w:sz w:val="22"/>
        </w:rPr>
        <w:t xml:space="preserve">Implication: </w:t>
      </w:r>
      <w:r>
        <w:rPr>
          <w:rFonts w:ascii="Calibri" w:hAnsi="Calibri"/>
          <w:i/>
          <w:color w:val="525866"/>
          <w:sz w:val="22"/>
        </w:rPr>
        <w:t>Catalyzed a sharp two-day stock rally (~$76 to ~$94); perps represent a new revenue opportunity given HOOD's existing European experience via Bitstamp and Rothera DCM/DCO infrastructure.</w:t>
      </w:r>
    </w:p>
    <w:p>
      <w:pPr>
        <w:pStyle w:val="ListBullet"/>
        <w:ind w:left="360" w:hanging="360"/>
      </w:pPr>
      <w:r>
        <w:rPr>
          <w:rFonts w:ascii="Calibri" w:hAnsi="Calibri"/>
          <w:b/>
          <w:color w:val="525866"/>
          <w:sz w:val="22"/>
        </w:rPr>
        <w:t xml:space="preserve">May 20, 2026 — WonderFi (Canada) Acquisition Receives CIRO Regulatory Approval: </w:t>
      </w:r>
      <w:r>
        <w:rPr>
          <w:rFonts w:ascii="Calibri" w:hAnsi="Calibri"/>
          <w:color w:val="525866"/>
          <w:sz w:val="22"/>
        </w:rPr>
        <w:t xml:space="preserve">Closing expected on or about June 1, 2026. </w:t>
      </w:r>
      <w:r>
        <w:rPr>
          <w:rFonts w:ascii="Calibri" w:hAnsi="Calibri"/>
          <w:i/>
          <w:color w:val="525866"/>
          <w:sz w:val="22"/>
        </w:rPr>
        <w:t xml:space="preserve">Implication: </w:t>
      </w:r>
      <w:r>
        <w:rPr>
          <w:rFonts w:ascii="Calibri" w:hAnsi="Calibri"/>
          <w:i/>
          <w:color w:val="525866"/>
          <w:sz w:val="22"/>
        </w:rPr>
        <w:t>Accelerates Canadian market entry; crypto launch in Canada planned for mid-2026.</w:t>
      </w:r>
    </w:p>
    <w:p>
      <w:pPr>
        <w:pStyle w:val="ListBullet"/>
        <w:ind w:left="360" w:hanging="360"/>
      </w:pPr>
      <w:r>
        <w:rPr>
          <w:rFonts w:ascii="Calibri" w:hAnsi="Calibri"/>
          <w:b/>
          <w:color w:val="525866"/>
          <w:sz w:val="22"/>
        </w:rPr>
        <w:t xml:space="preserve">May 8, 2026 — CTO Jeffrey Pinner Departs (8-K): </w:t>
      </w:r>
      <w:r>
        <w:rPr>
          <w:rFonts w:ascii="Calibri" w:hAnsi="Calibri"/>
          <w:color w:val="525866"/>
          <w:sz w:val="22"/>
        </w:rPr>
        <w:t xml:space="preserve">Effective May 7, 2026; eligible for severance under the Change in Control and Severance Plan. </w:t>
      </w:r>
      <w:r>
        <w:rPr>
          <w:rFonts w:ascii="Calibri" w:hAnsi="Calibri"/>
          <w:i/>
          <w:color w:val="525866"/>
          <w:sz w:val="22"/>
        </w:rPr>
        <w:t xml:space="preserve">Implication: </w:t>
      </w:r>
      <w:r>
        <w:rPr>
          <w:rFonts w:ascii="Calibri" w:hAnsi="Calibri"/>
          <w:i/>
          <w:color w:val="525866"/>
          <w:sz w:val="22"/>
        </w:rPr>
        <w:t>Key leadership departure at a critical product velocity moment; no replacement announced in the filing; bears watching for any product execution risk.</w:t>
      </w:r>
    </w:p>
    <w:p>
      <w:pPr>
        <w:pStyle w:val="ListBullet"/>
        <w:ind w:left="360" w:hanging="360"/>
      </w:pPr>
      <w:r>
        <w:rPr>
          <w:rFonts w:ascii="Calibri" w:hAnsi="Calibri"/>
          <w:b/>
          <w:color w:val="525866"/>
          <w:sz w:val="22"/>
        </w:rPr>
        <w:t xml:space="preserve">July 2, 2026 — Q2 2026 Earnings Date Confirmed: </w:t>
      </w:r>
      <w:r>
        <w:rPr>
          <w:rFonts w:ascii="Calibri" w:hAnsi="Calibri"/>
          <w:color w:val="525866"/>
          <w:sz w:val="22"/>
        </w:rPr>
        <w:t>Robinhood confirmed earnings will be reported on July 29, 2026 via press release.</w:t>
      </w:r>
    </w:p>
    <w:p>
      <w:pPr>
        <w:pStyle w:val="ListBullet"/>
        <w:ind w:left="360" w:hanging="360"/>
      </w:pPr>
      <w:r>
        <w:rPr>
          <w:rFonts w:ascii="Calibri" w:hAnsi="Calibri"/>
          <w:b/>
          <w:color w:val="525866"/>
          <w:sz w:val="22"/>
        </w:rPr>
        <w:t xml:space="preserve">June 26, 2026 — Dara Bazzano Appointed Principal Accounting Officer (8-K): </w:t>
      </w:r>
      <w:r>
        <w:rPr>
          <w:rFonts w:ascii="Calibri" w:hAnsi="Calibri"/>
          <w:color w:val="525866"/>
          <w:sz w:val="22"/>
        </w:rPr>
        <w:t>Veteran accounting executive appointed; routine governance appointment with no material business implication.</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b/>
          <w:color w:val="525866"/>
          <w:sz w:val="22"/>
        </w:rPr>
        <w:t xml:space="preserve">Both IBKR and SCHW reported </w:t>
      </w:r>
      <w:r>
        <w:rPr>
          <w:rFonts w:ascii="Calibri" w:hAnsi="Calibri"/>
          <w:b/>
          <w:color w:val="30A46C"/>
          <w:sz w:val="22"/>
        </w:rPr>
        <w:t>record or near-record Q2 2026 results</w:t>
      </w:r>
      <w:r>
        <w:rPr>
          <w:rFonts w:ascii="Calibri" w:hAnsi="Calibri"/>
          <w:b/>
          <w:color w:val="525866"/>
          <w:sz w:val="22"/>
        </w:rPr>
        <w:t xml:space="preserve"> with strong trading volumes, robust margin lending, and accelerating account growth — all directly read-through positive for HOOD's Q2 print, particularly for options, equities, and net interest income. The key divergence is on prediction markets, where SCHW explicitly said it has "no interest" in sports/entertainment contracts (90-95% of current volume), while IBKR launched a unified prediction markets platform focused on economic/political contracts.</w:t>
      </w:r>
    </w:p>
    <w:p>
      <w:pPr>
        <w:pStyle w:val="Heading3"/>
      </w:pPr>
      <w:r>
        <w:rPr>
          <w:rFonts w:ascii="Calibri" w:hAnsi="Calibri"/>
          <w:b/>
          <w:color w:val="3B4259"/>
          <w:sz w:val="24"/>
        </w:rPr>
        <w:t>Interactive Brokers (IBKR) — Q2 2026 Earnings (Reported July 21, 2026)</w:t>
      </w:r>
    </w:p>
    <w:p>
      <w:r>
        <w:rPr>
          <w:rFonts w:ascii="Calibri" w:hAnsi="Calibri"/>
          <w:b/>
          <w:color w:val="30A46C"/>
          <w:sz w:val="22"/>
        </w:rPr>
        <w:t xml:space="preserve">Read-Through Signal: </w:t>
      </w:r>
      <w:r>
        <w:rPr>
          <w:rFonts w:ascii="Calibri" w:hAnsi="Calibri"/>
          <w:color w:val="525866"/>
          <w:sz w:val="22"/>
        </w:rPr>
        <w:t xml:space="preserve"> Strongly positive for HOOD across trading volumes, options, margin, and account growth.</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IBKR Q2 2026 Commentary</w:t>
            </w:r>
          </w:p>
        </w:tc>
        <w:tc>
          <w:tcPr>
            <w:tcW w:type="dxa" w:w="2880"/>
            <w:shd w:val="clear" w:color="auto" w:fill="3B4259"/>
          </w:tcPr>
          <w:p>
            <w:r>
              <w:rPr>
                <w:rFonts w:ascii="Calibri" w:hAnsi="Calibri"/>
                <w:b/>
                <w:color w:val="FFFFFF"/>
                <w:sz w:val="22"/>
              </w:rPr>
              <w:t>HOOD Read-Through</w:t>
            </w:r>
          </w:p>
        </w:tc>
      </w:tr>
      <w:tr>
        <w:tc>
          <w:tcPr>
            <w:tcW w:type="dxa" w:w="2880"/>
          </w:tcPr>
          <w:p>
            <w:r>
              <w:rPr>
                <w:rFonts w:ascii="Calibri" w:hAnsi="Calibri"/>
                <w:sz w:val="22"/>
              </w:rPr>
              <w:t>Trading Volumes</w:t>
            </w:r>
          </w:p>
        </w:tc>
        <w:tc>
          <w:tcPr>
            <w:tcW w:type="dxa" w:w="2880"/>
          </w:tcPr>
          <w:p>
            <w:r>
              <w:rPr>
                <w:rFonts w:ascii="Calibri" w:hAnsi="Calibri"/>
                <w:sz w:val="22"/>
              </w:rPr>
              <w:t>Total customer DARTs of 4.8M/day, up 36% YoY — a new record. Commissions rose 30% YoY to a new record. Stock share volumes up 14% YoY; options contracts up 17% YoY; futures up 2% YoY. Overnight trading volumes nearly tripled YoY (10.9M trades vs. 3.8M). S&amp;P 500 up nearly 15% in Q2; markets rose strongly in April and May on strong tech earnings.</w:t>
            </w:r>
          </w:p>
        </w:tc>
        <w:tc>
          <w:tcPr>
            <w:tcW w:type="dxa" w:w="2880"/>
          </w:tcPr>
          <w:p>
            <w:r>
              <w:rPr>
                <w:rFonts w:ascii="Calibri" w:hAnsi="Calibri"/>
                <w:b/>
                <w:color w:val="30A46C"/>
                <w:sz w:val="22"/>
              </w:rPr>
              <w:t>Strongly positive. Record industry trading volumes confirm HOOD's April guidance (equities/options on track for highest month of year). Overnight trading growth is a HOOD-specific product strength.</w:t>
            </w:r>
          </w:p>
        </w:tc>
      </w:tr>
      <w:tr>
        <w:tc>
          <w:tcPr>
            <w:tcW w:type="dxa" w:w="2880"/>
          </w:tcPr>
          <w:p>
            <w:r>
              <w:rPr>
                <w:rFonts w:ascii="Calibri" w:hAnsi="Calibri"/>
                <w:sz w:val="22"/>
              </w:rPr>
              <w:t>Options Trading</w:t>
            </w:r>
          </w:p>
        </w:tc>
        <w:tc>
          <w:tcPr>
            <w:tcW w:type="dxa" w:w="2880"/>
          </w:tcPr>
          <w:p>
            <w:r>
              <w:rPr>
                <w:rFonts w:ascii="Calibri" w:hAnsi="Calibri"/>
                <w:sz w:val="22"/>
              </w:rPr>
              <w:t>Second-highest options contract volumes ever, up 17% YoY. Other fees and services up 40% to $87M, primarily driven by strong options volumes and higher payments from options exchange-mandated order flow programs. Structural shift in options trading expected to continue.</w:t>
            </w:r>
          </w:p>
        </w:tc>
        <w:tc>
          <w:tcPr>
            <w:tcW w:type="dxa" w:w="2880"/>
          </w:tcPr>
          <w:p>
            <w:r>
              <w:rPr>
                <w:rFonts w:ascii="Calibri" w:hAnsi="Calibri"/>
                <w:b/>
                <w:color w:val="30A46C"/>
                <w:sz w:val="22"/>
              </w:rPr>
              <w:t>Positive for HOOD options revenue (consensus: $335M, +26% YoY). IBKR's 17% options volume growth and structural shift commentary supports HOOD's options beat potential.</w:t>
            </w:r>
          </w:p>
        </w:tc>
      </w:tr>
      <w:tr>
        <w:tc>
          <w:tcPr>
            <w:tcW w:type="dxa" w:w="2880"/>
          </w:tcPr>
          <w:p>
            <w:r>
              <w:rPr>
                <w:rFonts w:ascii="Calibri" w:hAnsi="Calibri"/>
                <w:sz w:val="22"/>
              </w:rPr>
              <w:t>Margin Lending</w:t>
            </w:r>
          </w:p>
        </w:tc>
        <w:tc>
          <w:tcPr>
            <w:tcW w:type="dxa" w:w="2880"/>
          </w:tcPr>
          <w:p>
            <w:r>
              <w:rPr>
                <w:rFonts w:ascii="Calibri" w:hAnsi="Calibri"/>
                <w:sz w:val="22"/>
              </w:rPr>
              <w:t>Robust growth in margin borrowing reflecting a "risk on" environment. Total assets 36% higher YoY at $247B, driven by higher margin lending. Margin loan interest up 39% YoY despite fed funds rate falling 70 bps. Uninvested client cash up 27% YoY to a record $182B.</w:t>
            </w:r>
          </w:p>
        </w:tc>
        <w:tc>
          <w:tcPr>
            <w:tcW w:type="dxa" w:w="2880"/>
          </w:tcPr>
          <w:p>
            <w:r>
              <w:rPr>
                <w:rFonts w:ascii="Calibri" w:hAnsi="Calibri"/>
                <w:b/>
                <w:color w:val="30A46C"/>
                <w:sz w:val="22"/>
              </w:rPr>
              <w:t>Positive for HOOD net interest income (consensus: $388M). Strong margin lending environment supports HOOD's margin book growth and net interest revenue.</w:t>
            </w:r>
          </w:p>
        </w:tc>
      </w:tr>
      <w:tr>
        <w:tc>
          <w:tcPr>
            <w:tcW w:type="dxa" w:w="2880"/>
          </w:tcPr>
          <w:p>
            <w:r>
              <w:rPr>
                <w:rFonts w:ascii="Calibri" w:hAnsi="Calibri"/>
                <w:sz w:val="22"/>
              </w:rPr>
              <w:t>Account Growth</w:t>
            </w:r>
          </w:p>
        </w:tc>
        <w:tc>
          <w:tcPr>
            <w:tcW w:type="dxa" w:w="2880"/>
          </w:tcPr>
          <w:p>
            <w:r>
              <w:rPr>
                <w:rFonts w:ascii="Calibri" w:hAnsi="Calibri"/>
                <w:sz w:val="22"/>
              </w:rPr>
              <w:t>New accounts grew 34% YoY; 1.3M new accounts added over the last year. Client equity rose 40% to $930B. Introducing broker pipeline remains very strong. PDT rule change cited as a factor likely to fuel future numbers by removing barriers for less wealthy clients.</w:t>
            </w:r>
          </w:p>
        </w:tc>
        <w:tc>
          <w:tcPr>
            <w:tcW w:type="dxa" w:w="2880"/>
          </w:tcPr>
          <w:p>
            <w:r>
              <w:rPr>
                <w:rFonts w:ascii="Calibri" w:hAnsi="Calibri"/>
                <w:b/>
                <w:color w:val="30A46C"/>
                <w:sz w:val="22"/>
              </w:rPr>
              <w:t>Positive for HOOD funded account growth and net deposits. PDT elimination read-through is directly positive for HOOD's smaller-account customer base.</w:t>
            </w:r>
          </w:p>
        </w:tc>
      </w:tr>
      <w:tr>
        <w:tc>
          <w:tcPr>
            <w:tcW w:type="dxa" w:w="2880"/>
          </w:tcPr>
          <w:p>
            <w:r>
              <w:rPr>
                <w:rFonts w:ascii="Calibri" w:hAnsi="Calibri"/>
                <w:sz w:val="22"/>
              </w:rPr>
              <w:t>Crypto</w:t>
            </w:r>
          </w:p>
        </w:tc>
        <w:tc>
          <w:tcPr>
            <w:tcW w:type="dxa" w:w="2880"/>
          </w:tcPr>
          <w:p>
            <w:r>
              <w:rPr>
                <w:rFonts w:ascii="Calibri" w:hAnsi="Calibri"/>
                <w:sz w:val="22"/>
              </w:rPr>
              <w:t>Began offering crypto throughout Europe (building on UK since 2024). Introduced crypto perpetuals offered by Coinbase; roughly one-third of current crypto trading volume now from perpetuals. Perpetuals solve shorting and margin trading difficulties.</w:t>
            </w:r>
          </w:p>
        </w:tc>
        <w:tc>
          <w:tcPr>
            <w:tcW w:type="dxa" w:w="2880"/>
          </w:tcPr>
          <w:p>
            <w:r>
              <w:rPr>
                <w:rFonts w:ascii="Calibri" w:hAnsi="Calibri"/>
                <w:sz w:val="22"/>
              </w:rPr>
              <w:t>Mixed. Crypto perps gaining traction at IBKR validates the product opportunity for HOOD (which has European perps via Bitstamp and Rothera infrastructure for U.S. launch). Does not directly signal Q2 crypto revenue recovery for HOOD.</w:t>
            </w:r>
          </w:p>
        </w:tc>
      </w:tr>
      <w:tr>
        <w:tc>
          <w:tcPr>
            <w:tcW w:type="dxa" w:w="2880"/>
          </w:tcPr>
          <w:p>
            <w:r>
              <w:rPr>
                <w:rFonts w:ascii="Calibri" w:hAnsi="Calibri"/>
                <w:sz w:val="22"/>
              </w:rPr>
              <w:t>Prediction Markets</w:t>
            </w:r>
          </w:p>
        </w:tc>
        <w:tc>
          <w:tcPr>
            <w:tcW w:type="dxa" w:w="2880"/>
          </w:tcPr>
          <w:p>
            <w:r>
              <w:rPr>
                <w:rFonts w:ascii="Calibri" w:hAnsi="Calibri"/>
                <w:sz w:val="22"/>
              </w:rPr>
              <w:t>Launched IBKR Prediction Markets as a unified destination for trading event contracts across ForecastX, CME, and Kalshi. Focused on economic, political, and climate contracts. Explicitly does NOT offer sports or entertainment contracts. Plans to expand into weather/hurricane contracts.</w:t>
            </w:r>
          </w:p>
        </w:tc>
        <w:tc>
          <w:tcPr>
            <w:tcW w:type="dxa" w:w="2880"/>
          </w:tcPr>
          <w:p>
            <w:r>
              <w:rPr>
                <w:rFonts w:ascii="Calibri" w:hAnsi="Calibri"/>
                <w:sz w:val="22"/>
              </w:rPr>
              <w:t>Neutral to slightly positive. IBKR's focus on financial/economic contracts (not sports) is a different market segment than HOOD's Rothera, which includes sports/entertainment. IBKR's launch validates the institutional demand for prediction markets.</w:t>
            </w:r>
          </w:p>
        </w:tc>
      </w:tr>
      <w:tr>
        <w:tc>
          <w:tcPr>
            <w:tcW w:type="dxa" w:w="2880"/>
          </w:tcPr>
          <w:p>
            <w:r>
              <w:rPr>
                <w:rFonts w:ascii="Calibri" w:hAnsi="Calibri"/>
                <w:sz w:val="22"/>
              </w:rPr>
              <w:t>AI / Agentic Trading</w:t>
            </w:r>
          </w:p>
        </w:tc>
        <w:tc>
          <w:tcPr>
            <w:tcW w:type="dxa" w:w="2880"/>
          </w:tcPr>
          <w:p>
            <w:r>
              <w:rPr>
                <w:rFonts w:ascii="Calibri" w:hAnsi="Calibri"/>
                <w:sz w:val="22"/>
              </w:rPr>
              <w:t>Launched IBKR Connector integrated with AI chatbots from Anthropic, OpenAI, and xAI. Currently uses "human in the loop" paradigm (AI suggests, client approves). Plans to offer fully autonomous agentic trading in the future with guardrails. AI cited as a factor driving trading levels.</w:t>
            </w:r>
          </w:p>
        </w:tc>
        <w:tc>
          <w:tcPr>
            <w:tcW w:type="dxa" w:w="2880"/>
          </w:tcPr>
          <w:p>
            <w:r>
              <w:rPr>
                <w:rFonts w:ascii="Calibri" w:hAnsi="Calibri"/>
                <w:b/>
                <w:color w:val="30A46C"/>
                <w:sz w:val="22"/>
              </w:rPr>
              <w:t>Positive for HOOD's agentic AI positioning. IBKR's validation of AI-driven trading as a structural volume driver supports HOOD's Agentic Trading product launch narrative.</w:t>
            </w:r>
          </w:p>
        </w:tc>
      </w:tr>
      <w:tr>
        <w:tc>
          <w:tcPr>
            <w:tcW w:type="dxa" w:w="2880"/>
          </w:tcPr>
          <w:p>
            <w:r>
              <w:rPr>
                <w:rFonts w:ascii="Calibri" w:hAnsi="Calibri"/>
                <w:sz w:val="22"/>
              </w:rPr>
              <w:t>Net Interest Income</w:t>
            </w:r>
          </w:p>
        </w:tc>
        <w:tc>
          <w:tcPr>
            <w:tcW w:type="dxa" w:w="2880"/>
          </w:tcPr>
          <w:p>
            <w:r>
              <w:rPr>
                <w:rFonts w:ascii="Calibri" w:hAnsi="Calibri"/>
                <w:sz w:val="22"/>
              </w:rPr>
              <w:t>Total GAAP net interest income rose 23% YoY to just over $1B. Net interest income (NIM table) up 28% to $1.1B. Growth driven by higher balances (margin lending + segregated cash), partially offset by higher interest paid on customer cash. Central banks held benchmarks constant in Q2.</w:t>
            </w:r>
          </w:p>
        </w:tc>
        <w:tc>
          <w:tcPr>
            <w:tcW w:type="dxa" w:w="2880"/>
          </w:tcPr>
          <w:p>
            <w:r>
              <w:rPr>
                <w:rFonts w:ascii="Calibri" w:hAnsi="Calibri"/>
                <w:b/>
                <w:color w:val="30A46C"/>
                <w:sz w:val="22"/>
              </w:rPr>
              <w:t>Positive for HOOD net interest income. Stable rate environment + higher balances is the same dynamic driving HOOD's NII growth. Consensus NII of $388M (+8.7% YoY) appears achievable.</w:t>
            </w:r>
          </w:p>
        </w:tc>
      </w:tr>
    </w:tbl>
    <w:p>
      <w:r>
        <w:rPr>
          <w:rFonts w:ascii="Calibri" w:hAnsi="Calibri"/>
          <w:b/>
          <w:color w:val="525866"/>
          <w:sz w:val="22"/>
        </w:rPr>
        <w:t xml:space="preserve">Overall Peer Read-Through Summary: </w:t>
      </w:r>
      <w:r>
        <w:rPr>
          <w:rFonts w:ascii="Calibri" w:hAnsi="Calibri"/>
          <w:color w:val="525866"/>
          <w:sz w:val="22"/>
        </w:rPr>
        <w:t>Both IBKR and SCHW reported record or near-record Q2 2026 results, with trading volumes, margin lending, and account growth all significantly above prior-year levels. This is a strong positive read-through for HOOD's Q2 print across equities, options, net interest income, and net deposits. The key HOOD-specific wildcard — crypto revenue recovery — is not directly addressed by either peer, as neither IBKR nor SCHW has meaningful crypto trading revenue comparable to HOOD's. Prediction markets commentary is mixed: SCHW's explicit rejection of sports/entertainment contracts removes a potential competitor from HOOD's Rothera market, while IBKR's launch of a financial/economic-focused prediction markets platform validates institutional demand but targets a different segment.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The most notable development is a </w:t>
      </w:r>
      <w:r>
        <w:rPr>
          <w:rFonts w:ascii="Calibri" w:hAnsi="Calibri"/>
          <w:b/>
          <w:color w:val="30A46C"/>
          <w:sz w:val="22"/>
        </w:rPr>
        <w:t>large open-market buy by Director Meyer Malka</w:t>
      </w:r>
      <w:r>
        <w:rPr>
          <w:rFonts w:ascii="Calibri" w:hAnsi="Calibri"/>
          <w:b/>
          <w:color w:val="525866"/>
          <w:sz w:val="22"/>
        </w:rPr>
        <w:t xml:space="preserve"> (499,000 shares across two tranches in late May/early June, ~$38M at prevailing prices) — a rare and meaningful discretionary purchase by a board member. This is partially offset by routine 10b5-1 planned sales from the CEO, co-founder, and other executives, which are obligation-driven and carry less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Meyer Malka</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249,000</w:t>
            </w:r>
          </w:p>
        </w:tc>
        <w:tc>
          <w:tcPr>
            <w:tcW w:type="dxa" w:w="1440"/>
          </w:tcPr>
          <w:p>
            <w:r>
              <w:rPr>
                <w:rFonts w:ascii="Calibri" w:hAnsi="Calibri"/>
                <w:sz w:val="22"/>
              </w:rPr>
              <w:t>May 28, 2026</w:t>
            </w:r>
          </w:p>
        </w:tc>
        <w:tc>
          <w:tcPr>
            <w:tcW w:type="dxa" w:w="1440"/>
          </w:tcPr>
          <w:p>
            <w:r>
              <w:rPr>
                <w:rFonts w:ascii="Calibri" w:hAnsi="Calibri"/>
                <w:sz w:val="22"/>
              </w:rPr>
              <w:t>Discretionary purchase by fund (By Bullfrog); ~$19M at ~$76/share; notable bullish signal from board member</w:t>
            </w:r>
          </w:p>
        </w:tc>
      </w:tr>
      <w:tr>
        <w:tc>
          <w:tcPr>
            <w:tcW w:type="dxa" w:w="1440"/>
          </w:tcPr>
          <w:p>
            <w:r>
              <w:rPr>
                <w:rFonts w:ascii="Calibri" w:hAnsi="Calibri"/>
                <w:sz w:val="22"/>
              </w:rPr>
              <w:t>Meyer Malka</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250,000</w:t>
            </w:r>
          </w:p>
        </w:tc>
        <w:tc>
          <w:tcPr>
            <w:tcW w:type="dxa" w:w="1440"/>
          </w:tcPr>
          <w:p>
            <w:r>
              <w:rPr>
                <w:rFonts w:ascii="Calibri" w:hAnsi="Calibri"/>
                <w:sz w:val="22"/>
              </w:rPr>
              <w:t>June 5, 2026</w:t>
            </w:r>
          </w:p>
        </w:tc>
        <w:tc>
          <w:tcPr>
            <w:tcW w:type="dxa" w:w="1440"/>
          </w:tcPr>
          <w:p>
            <w:r>
              <w:rPr>
                <w:rFonts w:ascii="Calibri" w:hAnsi="Calibri"/>
                <w:sz w:val="22"/>
              </w:rPr>
              <w:t>Discretionary purchase by fund (By Bullfrog); ~$21M at ~$83/share; second large buy in 8 days, total ~$40M across both tranches</w:t>
            </w:r>
          </w:p>
        </w:tc>
      </w:tr>
      <w:tr>
        <w:tc>
          <w:tcPr>
            <w:tcW w:type="dxa" w:w="1440"/>
          </w:tcPr>
          <w:p>
            <w:r>
              <w:rPr>
                <w:rFonts w:ascii="Calibri" w:hAnsi="Calibri"/>
                <w:sz w:val="22"/>
              </w:rPr>
              <w:t>Vladimir Tenev</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375,000</w:t>
            </w:r>
          </w:p>
        </w:tc>
        <w:tc>
          <w:tcPr>
            <w:tcW w:type="dxa" w:w="1440"/>
          </w:tcPr>
          <w:p>
            <w:r>
              <w:rPr>
                <w:rFonts w:ascii="Calibri" w:hAnsi="Calibri"/>
                <w:sz w:val="22"/>
              </w:rPr>
              <w:t>July 6, 2026</w:t>
            </w:r>
          </w:p>
        </w:tc>
        <w:tc>
          <w:tcPr>
            <w:tcW w:type="dxa" w:w="1440"/>
          </w:tcPr>
          <w:p>
            <w:r>
              <w:rPr>
                <w:rFonts w:ascii="Calibri" w:hAnsi="Calibri"/>
                <w:sz w:val="22"/>
              </w:rPr>
              <w:t>Pre-planned 10b5-1 sale; obligation-driven; low signal</w:t>
            </w:r>
          </w:p>
        </w:tc>
      </w:tr>
      <w:tr>
        <w:tc>
          <w:tcPr>
            <w:tcW w:type="dxa" w:w="1440"/>
          </w:tcPr>
          <w:p>
            <w:r>
              <w:rPr>
                <w:rFonts w:ascii="Calibri" w:hAnsi="Calibri"/>
                <w:sz w:val="22"/>
              </w:rPr>
              <w:t>Baiju Bhatt</w:t>
            </w:r>
          </w:p>
        </w:tc>
        <w:tc>
          <w:tcPr>
            <w:tcW w:type="dxa" w:w="1440"/>
          </w:tcPr>
          <w:p>
            <w:r>
              <w:rPr>
                <w:rFonts w:ascii="Calibri" w:hAnsi="Calibri"/>
                <w:sz w:val="22"/>
              </w:rPr>
              <w:t>Director (Co-Founder)</w:t>
            </w:r>
          </w:p>
        </w:tc>
        <w:tc>
          <w:tcPr>
            <w:tcW w:type="dxa" w:w="1440"/>
          </w:tcPr>
          <w:p>
            <w:r>
              <w:rPr>
                <w:rFonts w:ascii="Calibri" w:hAnsi="Calibri"/>
                <w:sz w:val="22"/>
              </w:rPr>
              <w:t>10b5-1 Planned Sale</w:t>
            </w:r>
          </w:p>
        </w:tc>
        <w:tc>
          <w:tcPr>
            <w:tcW w:type="dxa" w:w="1440"/>
          </w:tcPr>
          <w:p>
            <w:r>
              <w:rPr>
                <w:rFonts w:ascii="Calibri" w:hAnsi="Calibri"/>
                <w:sz w:val="22"/>
              </w:rPr>
              <w:t>57,898</w:t>
            </w:r>
          </w:p>
        </w:tc>
        <w:tc>
          <w:tcPr>
            <w:tcW w:type="dxa" w:w="1440"/>
          </w:tcPr>
          <w:p>
            <w:r>
              <w:rPr>
                <w:rFonts w:ascii="Calibri" w:hAnsi="Calibri"/>
                <w:sz w:val="22"/>
              </w:rPr>
              <w:t>June 11, 2026</w:t>
            </w:r>
          </w:p>
        </w:tc>
        <w:tc>
          <w:tcPr>
            <w:tcW w:type="dxa" w:w="1440"/>
          </w:tcPr>
          <w:p>
            <w:r>
              <w:rPr>
                <w:rFonts w:ascii="Calibri" w:hAnsi="Calibri"/>
                <w:sz w:val="22"/>
              </w:rPr>
              <w:t>Pre-planned 10b5-1 sale via Living Trust; obligation-driven; low signal</w:t>
            </w:r>
          </w:p>
        </w:tc>
      </w:tr>
      <w:tr>
        <w:tc>
          <w:tcPr>
            <w:tcW w:type="dxa" w:w="1440"/>
          </w:tcPr>
          <w:p>
            <w:r>
              <w:rPr>
                <w:rFonts w:ascii="Calibri" w:hAnsi="Calibri"/>
                <w:sz w:val="22"/>
              </w:rPr>
              <w:t>Baiju Bhatt</w:t>
            </w:r>
          </w:p>
        </w:tc>
        <w:tc>
          <w:tcPr>
            <w:tcW w:type="dxa" w:w="1440"/>
          </w:tcPr>
          <w:p>
            <w:r>
              <w:rPr>
                <w:rFonts w:ascii="Calibri" w:hAnsi="Calibri"/>
                <w:sz w:val="22"/>
              </w:rPr>
              <w:t>Director (Co-Founder)</w:t>
            </w:r>
          </w:p>
        </w:tc>
        <w:tc>
          <w:tcPr>
            <w:tcW w:type="dxa" w:w="1440"/>
          </w:tcPr>
          <w:p>
            <w:r>
              <w:rPr>
                <w:rFonts w:ascii="Calibri" w:hAnsi="Calibri"/>
                <w:sz w:val="22"/>
              </w:rPr>
              <w:t>10b5-1 Planned Sale</w:t>
            </w:r>
          </w:p>
        </w:tc>
        <w:tc>
          <w:tcPr>
            <w:tcW w:type="dxa" w:w="1440"/>
          </w:tcPr>
          <w:p>
            <w:r>
              <w:rPr>
                <w:rFonts w:ascii="Calibri" w:hAnsi="Calibri"/>
                <w:sz w:val="22"/>
              </w:rPr>
              <w:t>49,223</w:t>
            </w:r>
          </w:p>
        </w:tc>
        <w:tc>
          <w:tcPr>
            <w:tcW w:type="dxa" w:w="1440"/>
          </w:tcPr>
          <w:p>
            <w:r>
              <w:rPr>
                <w:rFonts w:ascii="Calibri" w:hAnsi="Calibri"/>
                <w:sz w:val="22"/>
              </w:rPr>
              <w:t>July 24, 2026</w:t>
            </w:r>
          </w:p>
        </w:tc>
        <w:tc>
          <w:tcPr>
            <w:tcW w:type="dxa" w:w="1440"/>
          </w:tcPr>
          <w:p>
            <w:r>
              <w:rPr>
                <w:rFonts w:ascii="Calibri" w:hAnsi="Calibri"/>
                <w:sz w:val="22"/>
              </w:rPr>
              <w:t>Pre-planned 10b5-1 sale via Living Trust; obligation-driven; low signal</w:t>
            </w:r>
          </w:p>
        </w:tc>
      </w:tr>
      <w:tr>
        <w:tc>
          <w:tcPr>
            <w:tcW w:type="dxa" w:w="1440"/>
          </w:tcPr>
          <w:p>
            <w:r>
              <w:rPr>
                <w:rFonts w:ascii="Calibri" w:hAnsi="Calibri"/>
                <w:sz w:val="22"/>
              </w:rPr>
              <w:t>Daniel Gallagher</w:t>
            </w:r>
          </w:p>
        </w:tc>
        <w:tc>
          <w:tcPr>
            <w:tcW w:type="dxa" w:w="1440"/>
          </w:tcPr>
          <w:p>
            <w:r>
              <w:rPr>
                <w:rFonts w:ascii="Calibri" w:hAnsi="Calibri"/>
                <w:sz w:val="22"/>
              </w:rPr>
              <w:t>Chief Legal Officer</w:t>
            </w:r>
          </w:p>
        </w:tc>
        <w:tc>
          <w:tcPr>
            <w:tcW w:type="dxa" w:w="1440"/>
          </w:tcPr>
          <w:p>
            <w:r>
              <w:rPr>
                <w:rFonts w:ascii="Calibri" w:hAnsi="Calibri"/>
                <w:sz w:val="22"/>
              </w:rPr>
              <w:t>10b5-1 Planned Sale</w:t>
            </w:r>
          </w:p>
        </w:tc>
        <w:tc>
          <w:tcPr>
            <w:tcW w:type="dxa" w:w="1440"/>
          </w:tcPr>
          <w:p>
            <w:r>
              <w:rPr>
                <w:rFonts w:ascii="Calibri" w:hAnsi="Calibri"/>
                <w:sz w:val="22"/>
              </w:rPr>
              <w:t>10,000</w:t>
            </w:r>
          </w:p>
        </w:tc>
        <w:tc>
          <w:tcPr>
            <w:tcW w:type="dxa" w:w="1440"/>
          </w:tcPr>
          <w:p>
            <w:r>
              <w:rPr>
                <w:rFonts w:ascii="Calibri" w:hAnsi="Calibri"/>
                <w:sz w:val="22"/>
              </w:rPr>
              <w:t>July 6, 2026</w:t>
            </w:r>
          </w:p>
        </w:tc>
        <w:tc>
          <w:tcPr>
            <w:tcW w:type="dxa" w:w="1440"/>
          </w:tcPr>
          <w:p>
            <w:r>
              <w:rPr>
                <w:rFonts w:ascii="Calibri" w:hAnsi="Calibri"/>
                <w:sz w:val="22"/>
              </w:rPr>
              <w:t>Pre-planned 10b5-1 sale; routine; low signal</w:t>
            </w:r>
          </w:p>
        </w:tc>
      </w:tr>
      <w:tr>
        <w:tc>
          <w:tcPr>
            <w:tcW w:type="dxa" w:w="1440"/>
          </w:tcPr>
          <w:p>
            <w:r>
              <w:rPr>
                <w:rFonts w:ascii="Calibri" w:hAnsi="Calibri"/>
                <w:sz w:val="22"/>
              </w:rPr>
              <w:t>Daniel Gallagher</w:t>
            </w:r>
          </w:p>
        </w:tc>
        <w:tc>
          <w:tcPr>
            <w:tcW w:type="dxa" w:w="1440"/>
          </w:tcPr>
          <w:p>
            <w:r>
              <w:rPr>
                <w:rFonts w:ascii="Calibri" w:hAnsi="Calibri"/>
                <w:sz w:val="22"/>
              </w:rPr>
              <w:t>Chief Legal Officer</w:t>
            </w:r>
          </w:p>
        </w:tc>
        <w:tc>
          <w:tcPr>
            <w:tcW w:type="dxa" w:w="1440"/>
          </w:tcPr>
          <w:p>
            <w:r>
              <w:rPr>
                <w:rFonts w:ascii="Calibri" w:hAnsi="Calibri"/>
                <w:sz w:val="22"/>
              </w:rPr>
              <w:t>10b5-1 Planned Sale</w:t>
            </w:r>
          </w:p>
        </w:tc>
        <w:tc>
          <w:tcPr>
            <w:tcW w:type="dxa" w:w="1440"/>
          </w:tcPr>
          <w:p>
            <w:r>
              <w:rPr>
                <w:rFonts w:ascii="Calibri" w:hAnsi="Calibri"/>
                <w:sz w:val="22"/>
              </w:rPr>
              <w:t>10,000</w:t>
            </w:r>
          </w:p>
        </w:tc>
        <w:tc>
          <w:tcPr>
            <w:tcW w:type="dxa" w:w="1440"/>
          </w:tcPr>
          <w:p>
            <w:r>
              <w:rPr>
                <w:rFonts w:ascii="Calibri" w:hAnsi="Calibri"/>
                <w:sz w:val="22"/>
              </w:rPr>
              <w:t>June 3, 2026</w:t>
            </w:r>
          </w:p>
        </w:tc>
        <w:tc>
          <w:tcPr>
            <w:tcW w:type="dxa" w:w="1440"/>
          </w:tcPr>
          <w:p>
            <w:r>
              <w:rPr>
                <w:rFonts w:ascii="Calibri" w:hAnsi="Calibri"/>
                <w:sz w:val="22"/>
              </w:rPr>
              <w:t>Pre-planned 10b5-1 sale; routine; low signal</w:t>
            </w:r>
          </w:p>
        </w:tc>
      </w:tr>
      <w:tr>
        <w:tc>
          <w:tcPr>
            <w:tcW w:type="dxa" w:w="1440"/>
          </w:tcPr>
          <w:p>
            <w:r>
              <w:rPr>
                <w:rFonts w:ascii="Calibri" w:hAnsi="Calibri"/>
                <w:sz w:val="22"/>
              </w:rPr>
              <w:t>Daniel Gallagher</w:t>
            </w:r>
          </w:p>
        </w:tc>
        <w:tc>
          <w:tcPr>
            <w:tcW w:type="dxa" w:w="1440"/>
          </w:tcPr>
          <w:p>
            <w:r>
              <w:rPr>
                <w:rFonts w:ascii="Calibri" w:hAnsi="Calibri"/>
                <w:sz w:val="22"/>
              </w:rPr>
              <w:t>Chief Legal Officer</w:t>
            </w:r>
          </w:p>
        </w:tc>
        <w:tc>
          <w:tcPr>
            <w:tcW w:type="dxa" w:w="1440"/>
          </w:tcPr>
          <w:p>
            <w:r>
              <w:rPr>
                <w:rFonts w:ascii="Calibri" w:hAnsi="Calibri"/>
                <w:sz w:val="22"/>
              </w:rPr>
              <w:t>10b5-1 Planned Sale</w:t>
            </w:r>
          </w:p>
        </w:tc>
        <w:tc>
          <w:tcPr>
            <w:tcW w:type="dxa" w:w="1440"/>
          </w:tcPr>
          <w:p>
            <w:r>
              <w:rPr>
                <w:rFonts w:ascii="Calibri" w:hAnsi="Calibri"/>
                <w:sz w:val="22"/>
              </w:rPr>
              <w:t>10,000</w:t>
            </w:r>
          </w:p>
        </w:tc>
        <w:tc>
          <w:tcPr>
            <w:tcW w:type="dxa" w:w="1440"/>
          </w:tcPr>
          <w:p>
            <w:r>
              <w:rPr>
                <w:rFonts w:ascii="Calibri" w:hAnsi="Calibri"/>
                <w:sz w:val="22"/>
              </w:rPr>
              <w:t>May 4, 2026</w:t>
            </w:r>
          </w:p>
        </w:tc>
        <w:tc>
          <w:tcPr>
            <w:tcW w:type="dxa" w:w="1440"/>
          </w:tcPr>
          <w:p>
            <w:r>
              <w:rPr>
                <w:rFonts w:ascii="Calibri" w:hAnsi="Calibri"/>
                <w:sz w:val="22"/>
              </w:rPr>
              <w:t>Pre-planned 10b5-1 sale; routine; low signal</w:t>
            </w:r>
          </w:p>
        </w:tc>
      </w:tr>
      <w:tr>
        <w:tc>
          <w:tcPr>
            <w:tcW w:type="dxa" w:w="1440"/>
          </w:tcPr>
          <w:p>
            <w:r>
              <w:rPr>
                <w:rFonts w:ascii="Calibri" w:hAnsi="Calibri"/>
                <w:sz w:val="22"/>
              </w:rPr>
              <w:t>Shiv Verma</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5,436</w:t>
            </w:r>
          </w:p>
        </w:tc>
        <w:tc>
          <w:tcPr>
            <w:tcW w:type="dxa" w:w="1440"/>
          </w:tcPr>
          <w:p>
            <w:r>
              <w:rPr>
                <w:rFonts w:ascii="Calibri" w:hAnsi="Calibri"/>
                <w:sz w:val="22"/>
              </w:rPr>
              <w:t>May 15, 2026</w:t>
            </w:r>
          </w:p>
        </w:tc>
        <w:tc>
          <w:tcPr>
            <w:tcW w:type="dxa" w:w="1440"/>
          </w:tcPr>
          <w:p>
            <w:r>
              <w:rPr>
                <w:rFonts w:ascii="Calibri" w:hAnsi="Calibri"/>
                <w:sz w:val="22"/>
              </w:rPr>
              <w:t>Pre-planned 10b5-1 sale; routine; low signal</w:t>
            </w:r>
          </w:p>
        </w:tc>
      </w:tr>
      <w:tr>
        <w:tc>
          <w:tcPr>
            <w:tcW w:type="dxa" w:w="1440"/>
          </w:tcPr>
          <w:p>
            <w:r>
              <w:rPr>
                <w:rFonts w:ascii="Calibri" w:hAnsi="Calibri"/>
                <w:sz w:val="22"/>
              </w:rPr>
              <w:t>Shiv Verma</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3,984</w:t>
            </w:r>
          </w:p>
        </w:tc>
        <w:tc>
          <w:tcPr>
            <w:tcW w:type="dxa" w:w="1440"/>
          </w:tcPr>
          <w:p>
            <w:r>
              <w:rPr>
                <w:rFonts w:ascii="Calibri" w:hAnsi="Calibri"/>
                <w:sz w:val="22"/>
              </w:rPr>
              <w:t>June 15, 2026</w:t>
            </w:r>
          </w:p>
        </w:tc>
        <w:tc>
          <w:tcPr>
            <w:tcW w:type="dxa" w:w="1440"/>
          </w:tcPr>
          <w:p>
            <w:r>
              <w:rPr>
                <w:rFonts w:ascii="Calibri" w:hAnsi="Calibri"/>
                <w:sz w:val="22"/>
              </w:rPr>
              <w:t>Pre-planned 10b5-1 sale; routine; low signal</w:t>
            </w:r>
          </w:p>
        </w:tc>
      </w:tr>
      <w:tr>
        <w:tc>
          <w:tcPr>
            <w:tcW w:type="dxa" w:w="1440"/>
          </w:tcPr>
          <w:p>
            <w:r>
              <w:rPr>
                <w:rFonts w:ascii="Calibri" w:hAnsi="Calibri"/>
                <w:sz w:val="22"/>
              </w:rPr>
              <w:t>Steven Quirk</w:t>
            </w:r>
          </w:p>
        </w:tc>
        <w:tc>
          <w:tcPr>
            <w:tcW w:type="dxa" w:w="1440"/>
          </w:tcPr>
          <w:p>
            <w:r>
              <w:rPr>
                <w:rFonts w:ascii="Calibri" w:hAnsi="Calibri"/>
                <w:sz w:val="22"/>
              </w:rPr>
              <w:t>Chief Brokerage Officer</w:t>
            </w:r>
          </w:p>
        </w:tc>
        <w:tc>
          <w:tcPr>
            <w:tcW w:type="dxa" w:w="1440"/>
          </w:tcPr>
          <w:p>
            <w:r>
              <w:rPr>
                <w:rFonts w:ascii="Calibri" w:hAnsi="Calibri"/>
                <w:sz w:val="22"/>
              </w:rPr>
              <w:t>10b5-1 Planned Sale</w:t>
            </w:r>
          </w:p>
        </w:tc>
        <w:tc>
          <w:tcPr>
            <w:tcW w:type="dxa" w:w="1440"/>
          </w:tcPr>
          <w:p>
            <w:r>
              <w:rPr>
                <w:rFonts w:ascii="Calibri" w:hAnsi="Calibri"/>
                <w:sz w:val="22"/>
              </w:rPr>
              <w:t>19,377</w:t>
            </w:r>
          </w:p>
        </w:tc>
        <w:tc>
          <w:tcPr>
            <w:tcW w:type="dxa" w:w="1440"/>
          </w:tcPr>
          <w:p>
            <w:r>
              <w:rPr>
                <w:rFonts w:ascii="Calibri" w:hAnsi="Calibri"/>
                <w:sz w:val="22"/>
              </w:rPr>
              <w:t>July 2, 2026</w:t>
            </w:r>
          </w:p>
        </w:tc>
        <w:tc>
          <w:tcPr>
            <w:tcW w:type="dxa" w:w="1440"/>
          </w:tcPr>
          <w:p>
            <w:r>
              <w:rPr>
                <w:rFonts w:ascii="Calibri" w:hAnsi="Calibri"/>
                <w:sz w:val="22"/>
              </w:rPr>
              <w:t>Pre-planned 10b5-1 sale; routine; low signal</w:t>
            </w:r>
          </w:p>
        </w:tc>
      </w:tr>
      <w:tr>
        <w:tc>
          <w:tcPr>
            <w:tcW w:type="dxa" w:w="1440"/>
          </w:tcPr>
          <w:p>
            <w:r>
              <w:rPr>
                <w:rFonts w:ascii="Calibri" w:hAnsi="Calibri"/>
                <w:sz w:val="22"/>
              </w:rPr>
              <w:t>Steven Quirk</w:t>
            </w:r>
          </w:p>
        </w:tc>
        <w:tc>
          <w:tcPr>
            <w:tcW w:type="dxa" w:w="1440"/>
          </w:tcPr>
          <w:p>
            <w:r>
              <w:rPr>
                <w:rFonts w:ascii="Calibri" w:hAnsi="Calibri"/>
                <w:sz w:val="22"/>
              </w:rPr>
              <w:t>Chief Brokerage Officer</w:t>
            </w:r>
          </w:p>
        </w:tc>
        <w:tc>
          <w:tcPr>
            <w:tcW w:type="dxa" w:w="1440"/>
          </w:tcPr>
          <w:p>
            <w:r>
              <w:rPr>
                <w:rFonts w:ascii="Calibri" w:hAnsi="Calibri"/>
                <w:sz w:val="22"/>
              </w:rPr>
              <w:t>10b5-1 Planned Sale</w:t>
            </w:r>
          </w:p>
        </w:tc>
        <w:tc>
          <w:tcPr>
            <w:tcW w:type="dxa" w:w="1440"/>
          </w:tcPr>
          <w:p>
            <w:r>
              <w:rPr>
                <w:rFonts w:ascii="Calibri" w:hAnsi="Calibri"/>
                <w:sz w:val="22"/>
              </w:rPr>
              <w:t>10,837</w:t>
            </w:r>
          </w:p>
        </w:tc>
        <w:tc>
          <w:tcPr>
            <w:tcW w:type="dxa" w:w="1440"/>
          </w:tcPr>
          <w:p>
            <w:r>
              <w:rPr>
                <w:rFonts w:ascii="Calibri" w:hAnsi="Calibri"/>
                <w:sz w:val="22"/>
              </w:rPr>
              <w:t>June 3, 2026</w:t>
            </w:r>
          </w:p>
        </w:tc>
        <w:tc>
          <w:tcPr>
            <w:tcW w:type="dxa" w:w="1440"/>
          </w:tcPr>
          <w:p>
            <w:r>
              <w:rPr>
                <w:rFonts w:ascii="Calibri" w:hAnsi="Calibri"/>
                <w:sz w:val="22"/>
              </w:rPr>
              <w:t>Pre-planned 10b5-1 sale; routine; low signal</w:t>
            </w:r>
          </w:p>
        </w:tc>
      </w:tr>
      <w:tr>
        <w:tc>
          <w:tcPr>
            <w:tcW w:type="dxa" w:w="1440"/>
          </w:tcPr>
          <w:p>
            <w:r>
              <w:rPr>
                <w:rFonts w:ascii="Calibri" w:hAnsi="Calibri"/>
                <w:sz w:val="22"/>
              </w:rPr>
              <w:t>Paula Loop</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8,336</w:t>
            </w:r>
          </w:p>
        </w:tc>
        <w:tc>
          <w:tcPr>
            <w:tcW w:type="dxa" w:w="1440"/>
          </w:tcPr>
          <w:p>
            <w:r>
              <w:rPr>
                <w:rFonts w:ascii="Calibri" w:hAnsi="Calibri"/>
                <w:sz w:val="22"/>
              </w:rPr>
              <w:t>July 2, 2026</w:t>
            </w:r>
          </w:p>
        </w:tc>
        <w:tc>
          <w:tcPr>
            <w:tcW w:type="dxa" w:w="1440"/>
          </w:tcPr>
          <w:p>
            <w:r>
              <w:rPr>
                <w:rFonts w:ascii="Calibri" w:hAnsi="Calibri"/>
                <w:sz w:val="22"/>
              </w:rPr>
              <w:t>Pre-planned 10b5-1 sale; routine; low signal</w:t>
            </w:r>
          </w:p>
        </w:tc>
      </w:tr>
      <w:tr>
        <w:tc>
          <w:tcPr>
            <w:tcW w:type="dxa" w:w="1440"/>
          </w:tcPr>
          <w:p>
            <w:r>
              <w:rPr>
                <w:rFonts w:ascii="Calibri" w:hAnsi="Calibri"/>
                <w:sz w:val="22"/>
              </w:rPr>
              <w:t>Oluwadara Treseder</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3,750</w:t>
            </w:r>
          </w:p>
        </w:tc>
        <w:tc>
          <w:tcPr>
            <w:tcW w:type="dxa" w:w="1440"/>
          </w:tcPr>
          <w:p>
            <w:r>
              <w:rPr>
                <w:rFonts w:ascii="Calibri" w:hAnsi="Calibri"/>
                <w:sz w:val="22"/>
              </w:rPr>
              <w:t>July 2, 2026</w:t>
            </w:r>
          </w:p>
        </w:tc>
        <w:tc>
          <w:tcPr>
            <w:tcW w:type="dxa" w:w="1440"/>
          </w:tcPr>
          <w:p>
            <w:r>
              <w:rPr>
                <w:rFonts w:ascii="Calibri" w:hAnsi="Calibri"/>
                <w:sz w:val="22"/>
              </w:rPr>
              <w:t>Pre-planned 10b5-1 sale; routine; low signal</w:t>
            </w:r>
          </w:p>
        </w:tc>
      </w:tr>
      <w:tr>
        <w:tc>
          <w:tcPr>
            <w:tcW w:type="dxa" w:w="1440"/>
          </w:tcPr>
          <w:p>
            <w:r>
              <w:rPr>
                <w:rFonts w:ascii="Calibri" w:hAnsi="Calibri"/>
                <w:sz w:val="22"/>
              </w:rPr>
              <w:t>Jeffrey Pinner</w:t>
            </w:r>
          </w:p>
        </w:tc>
        <w:tc>
          <w:tcPr>
            <w:tcW w:type="dxa" w:w="1440"/>
          </w:tcPr>
          <w:p>
            <w:r>
              <w:rPr>
                <w:rFonts w:ascii="Calibri" w:hAnsi="Calibri"/>
                <w:sz w:val="22"/>
              </w:rPr>
              <w:t>Former CTO</w:t>
            </w:r>
          </w:p>
        </w:tc>
        <w:tc>
          <w:tcPr>
            <w:tcW w:type="dxa" w:w="1440"/>
          </w:tcPr>
          <w:p>
            <w:r>
              <w:rPr>
                <w:rFonts w:ascii="Calibri" w:hAnsi="Calibri"/>
                <w:sz w:val="22"/>
              </w:rPr>
              <w:t>10b5-1 Planned Sale</w:t>
            </w:r>
          </w:p>
        </w:tc>
        <w:tc>
          <w:tcPr>
            <w:tcW w:type="dxa" w:w="1440"/>
          </w:tcPr>
          <w:p>
            <w:r>
              <w:rPr>
                <w:rFonts w:ascii="Calibri" w:hAnsi="Calibri"/>
                <w:sz w:val="22"/>
              </w:rPr>
              <w:t>5,835</w:t>
            </w:r>
          </w:p>
        </w:tc>
        <w:tc>
          <w:tcPr>
            <w:tcW w:type="dxa" w:w="1440"/>
          </w:tcPr>
          <w:p>
            <w:r>
              <w:rPr>
                <w:rFonts w:ascii="Calibri" w:hAnsi="Calibri"/>
                <w:sz w:val="22"/>
              </w:rPr>
              <w:t>Apr 27, 2026</w:t>
            </w:r>
          </w:p>
        </w:tc>
        <w:tc>
          <w:tcPr>
            <w:tcW w:type="dxa" w:w="1440"/>
          </w:tcPr>
          <w:p>
            <w:r>
              <w:rPr>
                <w:rFonts w:ascii="Calibri" w:hAnsi="Calibri"/>
                <w:sz w:val="22"/>
              </w:rPr>
              <w:t>Pre-planned 10b5-1 sale; filed day before departure announcement; routine; low signal</w:t>
            </w:r>
          </w:p>
        </w:tc>
      </w:tr>
      <w:tr>
        <w:tc>
          <w:tcPr>
            <w:tcW w:type="dxa" w:w="1440"/>
          </w:tcPr>
          <w:p>
            <w:r>
              <w:rPr>
                <w:rFonts w:ascii="Calibri" w:hAnsi="Calibri"/>
                <w:sz w:val="22"/>
              </w:rPr>
              <w:t>Robinhood Ventures Fund I</w:t>
            </w:r>
          </w:p>
        </w:tc>
        <w:tc>
          <w:tcPr>
            <w:tcW w:type="dxa" w:w="1440"/>
          </w:tcPr>
          <w:p>
            <w:r>
              <w:rPr>
                <w:rFonts w:ascii="Calibri" w:hAnsi="Calibri"/>
                <w:sz w:val="22"/>
              </w:rPr>
              <w:t>10% Owner</w:t>
            </w:r>
          </w:p>
        </w:tc>
        <w:tc>
          <w:tcPr>
            <w:tcW w:type="dxa" w:w="1440"/>
          </w:tcPr>
          <w:p>
            <w:r>
              <w:rPr>
                <w:rFonts w:ascii="Calibri" w:hAnsi="Calibri"/>
                <w:sz w:val="22"/>
              </w:rPr>
              <w:t>Open Market Sale (Non-10b5-1)</w:t>
            </w:r>
          </w:p>
        </w:tc>
        <w:tc>
          <w:tcPr>
            <w:tcW w:type="dxa" w:w="1440"/>
          </w:tcPr>
          <w:p>
            <w:r>
              <w:rPr>
                <w:rFonts w:ascii="Calibri" w:hAnsi="Calibri"/>
                <w:sz w:val="22"/>
              </w:rPr>
              <w:t>~700,000 (June 25 alone)</w:t>
            </w:r>
          </w:p>
        </w:tc>
        <w:tc>
          <w:tcPr>
            <w:tcW w:type="dxa" w:w="1440"/>
          </w:tcPr>
          <w:p>
            <w:r>
              <w:rPr>
                <w:rFonts w:ascii="Calibri" w:hAnsi="Calibri"/>
                <w:sz w:val="22"/>
              </w:rPr>
              <w:t>June–July 2026 (ongoing)</w:t>
            </w:r>
          </w:p>
        </w:tc>
        <w:tc>
          <w:tcPr>
            <w:tcW w:type="dxa" w:w="1440"/>
          </w:tcPr>
          <w:p>
            <w:r>
              <w:rPr>
                <w:rFonts w:ascii="Calibri" w:hAnsi="Calibri"/>
                <w:sz w:val="22"/>
              </w:rPr>
              <w:t>Ongoing distribution from Robinhood Ventures Fund I; not 10b5-1 flagged for some tranches; fund-level distribution, not discretionary insider signal</w:t>
            </w:r>
          </w:p>
        </w:tc>
      </w:tr>
    </w:tbl>
    <w:p>
      <w:r>
        <w:rPr>
          <w:rFonts w:ascii="Calibri" w:hAnsi="Calibri"/>
          <w:b/>
          <w:color w:val="525866"/>
          <w:sz w:val="22"/>
        </w:rPr>
        <w:t xml:space="preserve">Analysis: </w:t>
      </w:r>
      <w:r>
        <w:rPr>
          <w:rFonts w:ascii="Calibri" w:hAnsi="Calibri"/>
          <w:color w:val="525866"/>
          <w:sz w:val="22"/>
        </w:rPr>
        <w:t xml:space="preserve">The standout signal is Director Meyer Malka's two large discretionary open-market purchases totaling 499,000 shares (~$40M) in late May and early June 2026 — executed at prices of ~$76–$83/share, well below the current ~$93 level. These are not 10b5-1 plan purchases and represent a meaningful conviction buy from a board member with deep knowledge of the business. The CEO (Tenev) sold 375,000 shares on July 6 under a pre-planned 10b5-1 program, which is obligation-driven and carries low signal. Robinhood Ventures Fund I has been conducting ongoing distributions (some non-10b5-1 flagged), which represent fund-level liquidity events rather than discretionary insider selling. The net insider picture is </w:t>
      </w:r>
      <w:r>
        <w:rPr>
          <w:rFonts w:ascii="Calibri" w:hAnsi="Calibri"/>
          <w:b/>
          <w:color w:val="30A46C"/>
          <w:sz w:val="22"/>
        </w:rPr>
        <w:t>constructive</w:t>
      </w:r>
      <w:r>
        <w:rPr>
          <w:rFonts w:ascii="Calibri" w:hAnsi="Calibri"/>
          <w:color w:val="525866"/>
          <w:sz w:val="22"/>
        </w:rPr>
        <w:t xml:space="preserve"> — the only meaningful discretionary transaction is a large buy.</w:t>
      </w:r>
    </w:p>
    <w:p>
      <w:r>
        <w:rPr>
          <w:rFonts w:ascii="Calibri" w:hAnsi="Calibri"/>
          <w:i/>
          <w:color w:val="525866"/>
          <w:sz w:val="22"/>
        </w:rPr>
        <w:t>Source: SEC Form 4 filings,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