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HSY before writing the preview. Let me gather recent filings, transcripts, news, and price data.Let me read the most recent earnings call transcript (2026Q1) and release, plus recent news for context on cocoa/guidance.Let me gather the year-ago Q2 comparison, recent news/macro, consensus estimates, and price performance.Let me get consensus estimates and current cocoa/analyst context via web search.Let me get the specific consensus numbers from the preview articles.I now have what I need. Here's the earnings preview.</w:t>
      </w:r>
    </w:p>
    <w:p>
      <w:r>
        <w:pict>
          <v:rect style="width:0;height:1.5pt" o:hralign="center" o:hrstd="t" o:hr="t"/>
        </w:pict>
      </w:r>
    </w:p>
    <w:bookmarkStart w:id="20" w:name="hershey-hsy--q2-2026-earnings-preview"/>
    <w:p>
      <w:pPr>
        <w:pStyle w:val="Heading1"/>
      </w:pPr>
      <w:r>
        <w:t xml:space="preserve">Hershey (HSY) — Q2 2026 Earnings Preview</w:t>
      </w:r>
    </w:p>
    <w:bookmarkStart w:id="9" w:name="Xaea3e10401d8f2c98397e39173187b382898545"/>
    <w:p>
      <w:pPr>
        <w:pStyle w:val="Heading3"/>
      </w:pPr>
      <w:r>
        <w:t xml:space="preserve">Report: Thursday, July 30, 2026 (before market open) · Live Q&amp;A 8:30 a.m. ET</w:t>
      </w:r>
    </w:p>
    <w:bookmarkEnd w:id="9"/>
    <w:bookmarkStart w:id="10" w:name="the-one-line-setup"/>
    <w:p>
      <w:pPr>
        <w:pStyle w:val="Heading2"/>
      </w:pPr>
      <w:r>
        <w:t xml:space="preserve">The one-line setup</w:t>
      </w:r>
    </w:p>
    <w:p>
      <w:pPr>
        <w:pStyle w:val="FirstParagraph"/>
      </w:pPr>
      <w:r>
        <w:t xml:space="preserve">This is a "quality-of-quarter" print, not a headline print. Management has already</w:t>
      </w:r>
      <w:r>
        <w:t xml:space="preserve"> </w:t>
      </w:r>
      <w:r>
        <w:rPr>
          <w:b/>
          <w:bCs/>
        </w:rPr>
        <w:t xml:space="preserve">telegraphed that Q2 will look optically soft</w:t>
      </w:r>
      <w:r>
        <w:t xml:space="preserve"> </w:t>
      </w:r>
      <w:r>
        <w:t xml:space="preserve">— organic sales are expected to be roughly flat-to-slightly-down — because a chunk of spring/Easter volume got pulled</w:t>
      </w:r>
      <w:r>
        <w:t xml:space="preserve"> </w:t>
      </w:r>
      <w:r>
        <w:rPr>
          <w:i/>
          <w:iCs/>
        </w:rPr>
        <w:t xml:space="preserve">forward</w:t>
      </w:r>
      <w:r>
        <w:t xml:space="preserve"> </w:t>
      </w:r>
      <w:r>
        <w:t xml:space="preserve">into a very strong Q1. The real stories are (1) whether the</w:t>
      </w:r>
      <w:r>
        <w:t xml:space="preserve"> </w:t>
      </w:r>
      <w:r>
        <w:rPr>
          <w:b/>
          <w:bCs/>
        </w:rPr>
        <w:t xml:space="preserve">gross-margin inflection</w:t>
      </w:r>
      <w:r>
        <w:t xml:space="preserve"> </w:t>
      </w:r>
      <w:r>
        <w:t xml:space="preserve">from falling cocoa is on track, (2) whether management</w:t>
      </w:r>
      <w:r>
        <w:t xml:space="preserve"> </w:t>
      </w:r>
      <w:r>
        <w:rPr>
          <w:b/>
          <w:bCs/>
        </w:rPr>
        <w:t xml:space="preserve">raises full-year guidance</w:t>
      </w:r>
      <w:r>
        <w:t xml:space="preserve"> </w:t>
      </w:r>
      <w:r>
        <w:t xml:space="preserve">at this mid-year checkpoint, and (3) whether Hershey</w:t>
      </w:r>
      <w:r>
        <w:t xml:space="preserve"> </w:t>
      </w:r>
      <w:r>
        <w:rPr>
          <w:b/>
          <w:bCs/>
        </w:rPr>
        <w:t xml:space="preserve">stabilizes its confection market share</w:t>
      </w:r>
      <w:r>
        <w:t xml:space="preserve"> </w:t>
      </w:r>
      <w:r>
        <w:t xml:space="preserve">against intensifying competition.</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Y/Y</w:t>
            </w:r>
          </w:p>
        </w:tc>
      </w:tr>
      <w:tr>
        <w:tc>
          <w:tcPr/>
          <w:p>
            <w:pPr>
              <w:pStyle w:val="Compact"/>
            </w:pPr>
            <w:r>
              <w:t xml:space="preserve">Adjusted EPS</w:t>
            </w:r>
          </w:p>
        </w:tc>
        <w:tc>
          <w:tcPr/>
          <w:p>
            <w:pPr>
              <w:pStyle w:val="Compact"/>
            </w:pPr>
            <w:r>
              <w:t xml:space="preserve">~$1.45–1.46</w:t>
            </w:r>
          </w:p>
        </w:tc>
        <w:tc>
          <w:tcPr/>
          <w:p>
            <w:pPr>
              <w:pStyle w:val="Compact"/>
            </w:pPr>
            <w:r>
              <w:t xml:space="preserve">$1.21</w:t>
            </w:r>
          </w:p>
        </w:tc>
        <w:tc>
          <w:tcPr/>
          <w:p>
            <w:pPr>
              <w:pStyle w:val="Compact"/>
            </w:pPr>
            <w:r>
              <w:rPr>
                <w:b/>
                <w:bCs/>
              </w:rPr>
              <w:t xml:space="preserve">+~20%</w:t>
            </w:r>
          </w:p>
        </w:tc>
      </w:tr>
      <w:tr>
        <w:tc>
          <w:tcPr/>
          <w:p>
            <w:pPr>
              <w:pStyle w:val="Compact"/>
            </w:pPr>
            <w:r>
              <w:t xml:space="preserve">Net sales</w:t>
            </w:r>
          </w:p>
        </w:tc>
        <w:tc>
          <w:tcPr/>
          <w:p>
            <w:pPr>
              <w:pStyle w:val="Compact"/>
            </w:pPr>
            <w:r>
              <w:t xml:space="preserve">~$2.63–2.66B</w:t>
            </w:r>
          </w:p>
        </w:tc>
        <w:tc>
          <w:tcPr/>
          <w:p>
            <w:pPr>
              <w:pStyle w:val="Compact"/>
            </w:pPr>
            <w:r>
              <w:t xml:space="preserve">$2.615B</w:t>
            </w:r>
          </w:p>
        </w:tc>
        <w:tc>
          <w:tcPr/>
          <w:p>
            <w:pPr>
              <w:pStyle w:val="Compact"/>
            </w:pPr>
            <w:r>
              <w:rPr>
                <w:b/>
                <w:bCs/>
              </w:rPr>
              <w:t xml:space="preserve">+~1–2%</w:t>
            </w:r>
          </w:p>
        </w:tc>
      </w:tr>
    </w:tbl>
    <w:p>
      <w:pPr>
        <w:pStyle w:val="Compact"/>
        <w:numPr>
          <w:ilvl w:val="0"/>
          <w:numId w:val="1001"/>
        </w:numPr>
      </w:pPr>
      <w:r>
        <w:t xml:space="preserve">Analysts expect the company to announce earnings of $1.46 per share and revenue of $2.6334 billion for the quarter, with results due before the market opens on Thursday, July 30th. Zacks' framing is similar — EPS of $1.46, up ~20.7% versus the prior-year quarter, on revenue of about $2.66 billion (roughly 1.7% growth).</w:t>
      </w:r>
    </w:p>
    <w:p>
      <w:pPr>
        <w:pStyle w:val="Compact"/>
        <w:numPr>
          <w:ilvl w:val="0"/>
          <w:numId w:val="1001"/>
        </w:numPr>
      </w:pPr>
      <w:r>
        <w:t xml:space="preserve">Note the low top-line bar: the market is expecting Hershey's revenue to be roughly flat year on year, a sharp slowdown from the 26% increase it recorded in the same quarter last year. That deceleration is</w:t>
      </w:r>
      <w:r>
        <w:t xml:space="preserve"> </w:t>
      </w:r>
      <w:r>
        <w:rPr>
          <w:b/>
          <w:bCs/>
        </w:rPr>
        <w:t xml:space="preserve">mechanical</w:t>
      </w:r>
      <w:r>
        <w:t xml:space="preserve">, not fundamental — last year's Q2 was distorted by a post-ERP inventory rebuild and a later Easter.</w:t>
      </w:r>
    </w:p>
    <w:p>
      <w:pPr>
        <w:pStyle w:val="Compact"/>
        <w:numPr>
          <w:ilvl w:val="0"/>
          <w:numId w:val="1001"/>
        </w:numPr>
      </w:pPr>
      <w:r>
        <w:t xml:space="preserve">Momentum into the print: Hershey last reported on April 30th, posting $2.35 EPS versus the $2.04 consensus — a $0.31 beat. The company has beaten EPS estimates for four straight quarters, so a small beat is arguably priced in.</w:t>
      </w:r>
    </w:p>
    <w:p>
      <w:r>
        <w:pict>
          <v:rect style="width:0;height:1.5pt" o:hralign="center" o:hrstd="t" o:hr="t"/>
        </w:pict>
      </w:r>
    </w:p>
    <w:bookmarkEnd w:id="11"/>
    <w:bookmarkStart w:id="12" w:name="Xe9f2efaa7121849b8084a36b6820378e5bf3498"/>
    <w:p>
      <w:pPr>
        <w:pStyle w:val="Heading2"/>
      </w:pPr>
      <w:r>
        <w:t xml:space="preserve">Why the headline number is deceptively weak (context from Q1)</w:t>
      </w:r>
    </w:p>
    <w:p>
      <w:pPr>
        <w:pStyle w:val="FirstParagraph"/>
      </w:pPr>
      <w:r>
        <w:t xml:space="preserve">On the Q1 call, CFO Steve Voskuil and CEO Kirk Tanner were explicit that Q2 organic sales would dip because of timing:</w:t>
      </w:r>
    </w:p>
    <w:p>
      <w:pPr>
        <w:pStyle w:val="Compact"/>
        <w:numPr>
          <w:ilvl w:val="0"/>
          <w:numId w:val="1002"/>
        </w:numPr>
      </w:pPr>
      <w:r>
        <w:t xml:space="preserve">Easter sell-through was strong, pulling</w:t>
      </w:r>
      <w:r>
        <w:t xml:space="preserve"> </w:t>
      </w:r>
      <w:r>
        <w:rPr>
          <w:b/>
          <w:bCs/>
        </w:rPr>
        <w:t xml:space="preserve">S'mores and other spring programming shipments into Q1</w:t>
      </w:r>
      <w:r>
        <w:t xml:space="preserve"> </w:t>
      </w:r>
      <w:r>
        <w:t xml:space="preserve">earlier than normal.</w:t>
      </w:r>
    </w:p>
    <w:p>
      <w:pPr>
        <w:pStyle w:val="Compact"/>
        <w:numPr>
          <w:ilvl w:val="0"/>
          <w:numId w:val="1002"/>
        </w:numPr>
      </w:pPr>
      <w:r>
        <w:t xml:space="preserve">There was some</w:t>
      </w:r>
      <w:r>
        <w:t xml:space="preserve"> </w:t>
      </w:r>
      <w:r>
        <w:rPr>
          <w:b/>
          <w:bCs/>
        </w:rPr>
        <w:t xml:space="preserve">international pull-forward</w:t>
      </w:r>
      <w:r>
        <w:t xml:space="preserve"> </w:t>
      </w:r>
      <w:r>
        <w:t xml:space="preserve">as customers front-ran potential Middle East disruption.</w:t>
      </w:r>
    </w:p>
    <w:p>
      <w:pPr>
        <w:pStyle w:val="Compact"/>
        <w:numPr>
          <w:ilvl w:val="0"/>
          <w:numId w:val="1002"/>
        </w:numPr>
      </w:pPr>
      <w:r>
        <w:t xml:space="preserve">Voskuil confirmed North America Confectionery organic sales would be</w:t>
      </w:r>
      <w:r>
        <w:t xml:space="preserve"> </w:t>
      </w:r>
      <w:r>
        <w:rPr>
          <w:b/>
          <w:bCs/>
        </w:rPr>
        <w:t xml:space="preserve">"slightly down" in Q2</w:t>
      </w:r>
      <w:r>
        <w:t xml:space="preserve"> </w:t>
      </w:r>
      <w:r>
        <w:t xml:space="preserve">on this timing — "nothing structurally different."</w:t>
      </w:r>
    </w:p>
    <w:p>
      <w:pPr>
        <w:pStyle w:val="FirstParagraph"/>
      </w:pPr>
      <w:r>
        <w:rPr>
          <w:b/>
          <w:bCs/>
        </w:rPr>
        <w:t xml:space="preserve">What to actually watch:</w:t>
      </w:r>
      <w:r>
        <w:t xml:space="preserve"> </w:t>
      </w:r>
      <w:r>
        <w:t xml:space="preserve">underlying consumption. Tanner guided that after the April Easter overlap, "you'll see momentum pick up in May and June." So parse the 12-week MULO+ takeaway data and the May/June cadence rather than the reported organic figure.</w:t>
      </w:r>
    </w:p>
    <w:p>
      <w:r>
        <w:pict>
          <v:rect style="width:0;height:1.5pt" o:hralign="center" o:hrstd="t" o:hr="t"/>
        </w:pict>
      </w:r>
    </w:p>
    <w:bookmarkEnd w:id="12"/>
    <w:bookmarkStart w:id="16" w:name="the-three-things-that-move-the-stock"/>
    <w:p>
      <w:pPr>
        <w:pStyle w:val="Heading2"/>
      </w:pPr>
      <w:r>
        <w:t xml:space="preserve">The three things that move the stock</w:t>
      </w:r>
    </w:p>
    <w:bookmarkStart w:id="13" w:name="X64fce902bd11bfafcbfaa7bc001defff4b0159c"/>
    <w:p>
      <w:pPr>
        <w:pStyle w:val="Heading3"/>
      </w:pPr>
      <w:r>
        <w:t xml:space="preserve">1. The gross-margin inflection (the whole bull case)</w:t>
      </w:r>
    </w:p>
    <w:p>
      <w:pPr>
        <w:pStyle w:val="FirstParagraph"/>
      </w:pPr>
      <w:r>
        <w:t xml:space="preserve">Q2 2026 is the quarter the cocoa tailwind is supposed to start showing up. On the Q1 call management guided</w:t>
      </w:r>
      <w:r>
        <w:t xml:space="preserve"> </w:t>
      </w:r>
      <w:r>
        <w:rPr>
          <w:b/>
          <w:bCs/>
        </w:rPr>
        <w:t xml:space="preserve">gross margin up ~300 bps year-on-year in Q2</w:t>
      </w:r>
      <w:r>
        <w:t xml:space="preserve">, accelerating to</w:t>
      </w:r>
      <w:r>
        <w:t xml:space="preserve"> </w:t>
      </w:r>
      <w:r>
        <w:rPr>
          <w:b/>
          <w:bCs/>
        </w:rPr>
        <w:t xml:space="preserve">&gt;500 bps in the back half</w:t>
      </w:r>
      <w:r>
        <w:t xml:space="preserve"> </w:t>
      </w:r>
      <w:r>
        <w:t xml:space="preserve">as Hershey laps peak-cost cocoa. For reference, Q2 2025 adjusted gross margin was a depressed 38.1% and adjusted operating margin was 15.7%.</w:t>
      </w:r>
    </w:p>
    <w:p>
      <w:pPr>
        <w:pStyle w:val="Compact"/>
        <w:numPr>
          <w:ilvl w:val="0"/>
          <w:numId w:val="1003"/>
        </w:numPr>
      </w:pPr>
      <w:r>
        <w:t xml:space="preserve">The macro tailwind is real: Cocoa traded around $5,243/tonne on July 29, 2026 — up modestly over the past month but still roughly 36% below a year ago.</w:t>
      </w:r>
    </w:p>
    <w:p>
      <w:pPr>
        <w:pStyle w:val="Compact"/>
        <w:numPr>
          <w:ilvl w:val="0"/>
          <w:numId w:val="1003"/>
        </w:numPr>
      </w:pPr>
      <w:r>
        <w:t xml:space="preserve">Critically, Hershey is keeping the ~20% of pricing it took during the cocoa spike even as the input deflates — the "price retention" dynamic that widens margins. But note cocoa prices have eased while shelf chocolate prices have stayed high, and chocolate remains expensive as makers try to win shoppers back with premium products. Elasticity is the offset to watch.</w:t>
      </w:r>
    </w:p>
    <w:bookmarkEnd w:id="13"/>
    <w:bookmarkStart w:id="14" w:name="X496502820ec6430e7f2e2f7915471d3af35a98b"/>
    <w:p>
      <w:pPr>
        <w:pStyle w:val="Heading3"/>
      </w:pPr>
      <w:r>
        <w:t xml:space="preserve">2. Will guidance move? (the likely catalyst)</w:t>
      </w:r>
    </w:p>
    <w:p>
      <w:pPr>
        <w:pStyle w:val="FirstParagraph"/>
      </w:pPr>
      <w:r>
        <w:t xml:space="preserve">Hershey</w:t>
      </w:r>
      <w:r>
        <w:t xml:space="preserve"> </w:t>
      </w:r>
      <w:r>
        <w:rPr>
          <w:b/>
          <w:bCs/>
        </w:rPr>
        <w:t xml:space="preserve">reaffirmed</w:t>
      </w:r>
      <w:r>
        <w:t xml:space="preserve"> </w:t>
      </w:r>
      <w:r>
        <w:t xml:space="preserve">its 2026 outlook at Q1 despite the beat, and explicitly said it would reassess at mid-year — i.e., this print. Current full-year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FY2026 guidance (reaffirmed)</w:t>
            </w:r>
          </w:p>
        </w:tc>
        <w:tc>
          <w:tcPr/>
          <w:p>
            <w:pPr>
              <w:pStyle w:val="Compact"/>
            </w:pPr>
          </w:p>
        </w:tc>
      </w:tr>
      <w:tr>
        <w:tc>
          <w:tcPr/>
          <w:p>
            <w:pPr>
              <w:pStyle w:val="Compact"/>
            </w:pPr>
            <w:r>
              <w:t xml:space="preserve">Net sales growth</w:t>
            </w:r>
          </w:p>
        </w:tc>
        <w:tc>
          <w:tcPr/>
          <w:p>
            <w:pPr>
              <w:pStyle w:val="Compact"/>
            </w:pPr>
            <w:r>
              <w:t xml:space="preserve">4%–5% (incl. ~150 bps from LesserEvil)</w:t>
            </w:r>
          </w:p>
        </w:tc>
      </w:tr>
      <w:tr>
        <w:tc>
          <w:tcPr/>
          <w:p>
            <w:pPr>
              <w:pStyle w:val="Compact"/>
            </w:pPr>
            <w:r>
              <w:t xml:space="preserve">Organic net sales growth</w:t>
            </w:r>
          </w:p>
        </w:tc>
        <w:tc>
          <w:tcPr/>
          <w:p>
            <w:pPr>
              <w:pStyle w:val="Compact"/>
            </w:pPr>
            <w:r>
              <w:t xml:space="preserve">2.5%–3.5%</w:t>
            </w:r>
          </w:p>
        </w:tc>
      </w:tr>
      <w:tr>
        <w:tc>
          <w:tcPr/>
          <w:p>
            <w:pPr>
              <w:pStyle w:val="Compact"/>
            </w:pPr>
            <w:r>
              <w:t xml:space="preserve">Adjusted EPS</w:t>
            </w:r>
          </w:p>
        </w:tc>
        <w:tc>
          <w:tcPr/>
          <w:p>
            <w:pPr>
              <w:pStyle w:val="Compact"/>
            </w:pPr>
            <m:oMath>
              <m:r>
                <m:t>8.20</m:t>
              </m:r>
              <m:r>
                <m:rPr>
                  <m:sty m:val="p"/>
                </m:rPr>
                <m:t>–</m:t>
              </m:r>
            </m:oMath>
            <w:r>
              <w:rPr>
                <w:b/>
                <w:bCs/>
              </w:rPr>
              <w:t xml:space="preserve">8.52</w:t>
            </w:r>
            <w:r>
              <w:t xml:space="preserve"> </w:t>
            </w:r>
            <w:r>
              <w:t xml:space="preserve">(+30–35%)</w:t>
            </w:r>
          </w:p>
        </w:tc>
      </w:tr>
      <w:tr>
        <w:tc>
          <w:tcPr/>
          <w:p>
            <w:pPr>
              <w:pStyle w:val="Compact"/>
            </w:pPr>
            <w:r>
              <w:t xml:space="preserve">Reported EPS</w:t>
            </w:r>
          </w:p>
        </w:tc>
        <w:tc>
          <w:tcPr/>
          <w:p>
            <w:pPr>
              <w:pStyle w:val="Compact"/>
            </w:pPr>
            <m:oMath>
              <m:r>
                <m:t>7.77</m:t>
              </m:r>
              <m:r>
                <m:rPr>
                  <m:sty m:val="p"/>
                </m:rPr>
                <m:t>–</m:t>
              </m:r>
            </m:oMath>
            <w:r>
              <w:t xml:space="preserve">8.19</w:t>
            </w:r>
          </w:p>
        </w:tc>
      </w:tr>
      <w:tr>
        <w:tc>
          <w:tcPr/>
          <w:p>
            <w:pPr>
              <w:pStyle w:val="Compact"/>
            </w:pPr>
            <w:r>
              <w:t xml:space="preserve">Effective tax rate</w:t>
            </w:r>
          </w:p>
        </w:tc>
        <w:tc>
          <w:tcPr/>
          <w:p>
            <w:pPr>
              <w:pStyle w:val="Compact"/>
            </w:pPr>
            <w:r>
              <w:t xml:space="preserve">~25%–27%</w:t>
            </w:r>
          </w:p>
        </w:tc>
      </w:tr>
      <w:tr>
        <w:tc>
          <w:tcPr/>
          <w:p>
            <w:pPr>
              <w:pStyle w:val="Compact"/>
            </w:pPr>
            <w:r>
              <w:t xml:space="preserve">Interest expense</w:t>
            </w:r>
          </w:p>
        </w:tc>
        <w:tc>
          <w:tcPr/>
          <w:p>
            <w:pPr>
              <w:pStyle w:val="Compact"/>
            </w:pPr>
            <w:r>
              <w:t xml:space="preserve">~$200–210M</w:t>
            </w:r>
          </w:p>
        </w:tc>
      </w:tr>
      <w:tr>
        <w:tc>
          <w:tcPr/>
          <w:p>
            <w:pPr>
              <w:pStyle w:val="Compact"/>
            </w:pPr>
            <w:r>
              <w:t xml:space="preserve">Capex</w:t>
            </w:r>
          </w:p>
        </w:tc>
        <w:tc>
          <w:tcPr/>
          <w:p>
            <w:pPr>
              <w:pStyle w:val="Compact"/>
            </w:pPr>
            <w:r>
              <w:t xml:space="preserve">~$425–475M</w:t>
            </w:r>
          </w:p>
        </w:tc>
      </w:tr>
      <w:tr>
        <w:tc>
          <w:tcPr/>
          <w:p>
            <w:pPr>
              <w:pStyle w:val="Compact"/>
            </w:pPr>
            <w:r>
              <w:t xml:space="preserve">A&amp;A savings</w:t>
            </w:r>
          </w:p>
        </w:tc>
        <w:tc>
          <w:tcPr/>
          <w:p>
            <w:pPr>
              <w:pStyle w:val="Compact"/>
            </w:pPr>
            <w:r>
              <w:t xml:space="preserve">~$100M</w:t>
            </w:r>
          </w:p>
        </w:tc>
      </w:tr>
    </w:tbl>
    <w:p>
      <w:pPr>
        <w:pStyle w:val="BodyText"/>
      </w:pPr>
      <w:r>
        <w:t xml:space="preserve">Management held guidance in Q1 on caution — elasticities were running</w:t>
      </w:r>
      <w:r>
        <w:t xml:space="preserve"> </w:t>
      </w:r>
      <w:r>
        <w:rPr>
          <w:i/>
          <w:iCs/>
        </w:rPr>
        <w:t xml:space="preserve">favorable</w:t>
      </w:r>
      <w:r>
        <w:t xml:space="preserve"> </w:t>
      </w:r>
      <w:r>
        <w:t xml:space="preserve">vs. plan, but price-pack architecture was still hitting shelves and they wanted more data. With the mid-year checkpoint here, a</w:t>
      </w:r>
      <w:r>
        <w:t xml:space="preserve"> </w:t>
      </w:r>
      <w:r>
        <w:rPr>
          <w:b/>
          <w:bCs/>
        </w:rPr>
        <w:t xml:space="preserve">guidance raise is the key upside catalyst</w:t>
      </w:r>
      <w:r>
        <w:t xml:space="preserve">; conversely, a mere reaffirmation could disappoint a stock that has bounced into the print. Note the Street's full-year number (~$8.43) is already near the high end.</w:t>
      </w:r>
    </w:p>
    <w:bookmarkEnd w:id="14"/>
    <w:bookmarkStart w:id="15" w:name="X1223fdc1444b313f631f2f40e5e7642485e12fb"/>
    <w:p>
      <w:pPr>
        <w:pStyle w:val="Heading3"/>
      </w:pPr>
      <w:r>
        <w:t xml:space="preserve">3. Market share</w:t>
      </w:r>
    </w:p>
    <w:p>
      <w:pPr>
        <w:pStyle w:val="FirstParagraph"/>
      </w:pPr>
      <w:r>
        <w:t xml:space="preserve">The soft spot in Q1: Hershey reported CMG (candy, mint, gum) share declined year-on-year on increased competition and the timing of innovation/merchandising, even as category takeaway grew ~8%. Management said it exited spring resets in a "net positive" position and expects to reclaim momentum in H2 via tent-poles and the fall premium Hershey's launch.</w:t>
      </w:r>
      <w:r>
        <w:t xml:space="preserve"> </w:t>
      </w:r>
      <w:r>
        <w:rPr>
          <w:b/>
          <w:bCs/>
        </w:rPr>
        <w:t xml:space="preserve">Whether share stabilizes in Q2 is a make-or-break credibility item</w:t>
      </w:r>
      <w:r>
        <w:t xml:space="preserve"> </w:t>
      </w:r>
      <w:r>
        <w:t xml:space="preserve">for the second-half growth story, especially with investors worried that falling cocoa could reignite competitive promotion.</w:t>
      </w:r>
    </w:p>
    <w:p>
      <w:r>
        <w:pict>
          <v:rect style="width:0;height:1.5pt" o:hralign="center" o:hrstd="t" o:hr="t"/>
        </w:pict>
      </w:r>
    </w:p>
    <w:bookmarkEnd w:id="15"/>
    <w:bookmarkEnd w:id="16"/>
    <w:bookmarkStart w:id="17" w:name="other-things-worth-tracking"/>
    <w:p>
      <w:pPr>
        <w:pStyle w:val="Heading2"/>
      </w:pPr>
      <w:r>
        <w:t xml:space="preserve">Other things worth tracking</w:t>
      </w:r>
    </w:p>
    <w:p>
      <w:pPr>
        <w:pStyle w:val="Compact"/>
        <w:numPr>
          <w:ilvl w:val="0"/>
          <w:numId w:val="1004"/>
        </w:numPr>
      </w:pPr>
      <w:r>
        <w:rPr>
          <w:b/>
          <w:bCs/>
        </w:rPr>
        <w:t xml:space="preserve">North America Salty Snacks margin recovery.</w:t>
      </w:r>
      <w:r>
        <w:t xml:space="preserve"> </w:t>
      </w:r>
      <w:r>
        <w:t xml:space="preserve">Q1 segment margin cratered to 9.8% (−530 bps) on one-time DC logistics and a voluntary product withdrawal. Management said those costs are "done" and expects</w:t>
      </w:r>
      <w:r>
        <w:t xml:space="preserve"> </w:t>
      </w:r>
      <w:r>
        <w:rPr>
          <w:b/>
          <w:bCs/>
        </w:rPr>
        <w:t xml:space="preserve">double-digit segment operating-income growth for the year.</w:t>
      </w:r>
      <w:r>
        <w:t xml:space="preserve"> </w:t>
      </w:r>
      <w:r>
        <w:t xml:space="preserve">LesserEvil adds ~20 pts to segment sales growth but also amortization/mix drag. Core brands (Dot's, SkinnyPop, LesserEvil) are the growth engine; planned private-label reductions remain a top-line drag.</w:t>
      </w:r>
    </w:p>
    <w:p>
      <w:pPr>
        <w:pStyle w:val="Compact"/>
        <w:numPr>
          <w:ilvl w:val="0"/>
          <w:numId w:val="1004"/>
        </w:numPr>
      </w:pPr>
      <w:r>
        <w:rPr>
          <w:b/>
          <w:bCs/>
        </w:rPr>
        <w:t xml:space="preserve">Consumer/macro checks.</w:t>
      </w:r>
      <w:r>
        <w:t xml:space="preserve"> </w:t>
      </w:r>
      <w:r>
        <w:t xml:space="preserve">SNAP benefit changes (modeled as a headwind that builds through the year), GLP-1 adoption, and gasoline/geopolitical pressure on the C-store channel. Q1 impacts were "mild" and within plan — confirmation matters.</w:t>
      </w:r>
    </w:p>
    <w:p>
      <w:pPr>
        <w:pStyle w:val="Compact"/>
        <w:numPr>
          <w:ilvl w:val="0"/>
          <w:numId w:val="1004"/>
        </w:numPr>
      </w:pPr>
      <w:r>
        <w:rPr>
          <w:b/>
          <w:bCs/>
        </w:rPr>
        <w:t xml:space="preserve">Tent-pole execution.</w:t>
      </w:r>
      <w:r>
        <w:t xml:space="preserve"> </w:t>
      </w:r>
      <w:r>
        <w:t xml:space="preserve">July 4th / U.S. 250th-anniversary "Americana," summer S'mores, then Halloween — management says tent-poles add ~1 pt of growth. Q2 captures the July 4th activation.</w:t>
      </w:r>
    </w:p>
    <w:p>
      <w:pPr>
        <w:pStyle w:val="Compact"/>
        <w:numPr>
          <w:ilvl w:val="0"/>
          <w:numId w:val="1004"/>
        </w:numPr>
      </w:pPr>
      <w:r>
        <w:rPr>
          <w:b/>
          <w:bCs/>
        </w:rPr>
        <w:t xml:space="preserve">Leadership.</w:t>
      </w:r>
      <w:r>
        <w:t xml:space="preserve"> </w:t>
      </w:r>
      <w:r>
        <w:t xml:space="preserve">This is CEO Kirk Tanner's tenure (Michele Buck led the year-ago quarter); the market is still calibrating his execution playbook, so tone/confidence on the H2 ramp carries weight.</w:t>
      </w:r>
    </w:p>
    <w:p>
      <w:pPr>
        <w:pStyle w:val="Compact"/>
        <w:numPr>
          <w:ilvl w:val="0"/>
          <w:numId w:val="1004"/>
        </w:numPr>
      </w:pPr>
      <w:r>
        <w:rPr>
          <w:b/>
          <w:bCs/>
        </w:rPr>
        <w:t xml:space="preserve">Tariffs &amp; costs.</w:t>
      </w:r>
      <w:r>
        <w:t xml:space="preserve"> </w:t>
      </w:r>
      <w:r>
        <w:t xml:space="preserve">2025 tariff expense ran ~$170–180M; watch for any update to the tariff/packaging/freight cost outlook.</w:t>
      </w:r>
    </w:p>
    <w:p>
      <w:r>
        <w:pict>
          <v:rect style="width:0;height:1.5pt" o:hralign="center" o:hrstd="t" o:hr="t"/>
        </w:pict>
      </w:r>
    </w:p>
    <w:bookmarkEnd w:id="17"/>
    <w:bookmarkStart w:id="18" w:name="stock--positioning"/>
    <w:p>
      <w:pPr>
        <w:pStyle w:val="Heading2"/>
      </w:pPr>
      <w:r>
        <w:t xml:space="preserve">Stock &amp; positioning</w:t>
      </w:r>
    </w:p>
    <w:p>
      <w:pPr>
        <w:pStyle w:val="Compact"/>
        <w:numPr>
          <w:ilvl w:val="0"/>
          <w:numId w:val="1005"/>
        </w:numPr>
      </w:pPr>
      <w:r>
        <w:t xml:space="preserve">HSY closed around</w:t>
      </w:r>
      <w:r>
        <w:t xml:space="preserve"> </w:t>
      </w:r>
      <m:oMath>
        <m:r>
          <m:t>184</m:t>
        </m:r>
        <m:r>
          <m:rPr>
            <m:sty m:val="p"/>
          </m:rPr>
          <m:t>*</m:t>
        </m:r>
        <m:r>
          <m:rPr>
            <m:sty m:val="p"/>
          </m:rPr>
          <m:t>*</m:t>
        </m:r>
        <m:r>
          <m:t>o</m:t>
        </m:r>
        <m:r>
          <m:t>n</m:t>
        </m:r>
        <m:r>
          <m:t>J</m:t>
        </m:r>
        <m:r>
          <m:t>u</m:t>
        </m:r>
        <m:r>
          <m:t>l</m:t>
        </m:r>
        <m:r>
          <m:t>y</m:t>
        </m:r>
        <m:r>
          <m:t>29</m:t>
        </m:r>
        <m:r>
          <m:rPr>
            <m:sty m:val="p"/>
          </m:rPr>
          <m:t>,</m:t>
        </m:r>
        <m:r>
          <m:t>e</m:t>
        </m:r>
        <m:r>
          <m:t>s</m:t>
        </m:r>
        <m:r>
          <m:t>s</m:t>
        </m:r>
        <m:r>
          <m:t>e</m:t>
        </m:r>
        <m:r>
          <m:t>n</m:t>
        </m:r>
        <m:r>
          <m:t>t</m:t>
        </m:r>
        <m:r>
          <m:t>i</m:t>
        </m:r>
        <m:r>
          <m:t>a</m:t>
        </m:r>
        <m:r>
          <m:t>l</m:t>
        </m:r>
        <m:r>
          <m:t>l</m:t>
        </m:r>
        <m:r>
          <m:t>y</m:t>
        </m:r>
        <m:r>
          <m:rPr>
            <m:sty m:val="p"/>
          </m:rPr>
          <m:t>*</m:t>
        </m:r>
        <m:r>
          <m:rPr>
            <m:sty m:val="p"/>
          </m:rPr>
          <m:t>*</m:t>
        </m:r>
        <m:r>
          <m:t>f</m:t>
        </m:r>
        <m:r>
          <m:t>l</m:t>
        </m:r>
        <m:r>
          <m:t>a</m:t>
        </m:r>
        <m:r>
          <m:t>t</m:t>
        </m:r>
        <m:r>
          <m:t>y</m:t>
        </m:r>
        <m:r>
          <m:t>e</m:t>
        </m:r>
        <m:r>
          <m:t>a</m:t>
        </m:r>
        <m:r>
          <m:t>r</m:t>
        </m:r>
        <m:r>
          <m:rPr>
            <m:sty m:val="p"/>
          </m:rPr>
          <m:t>−</m:t>
        </m:r>
        <m:r>
          <m:t>t</m:t>
        </m:r>
        <m:r>
          <m:t>o</m:t>
        </m:r>
        <m:r>
          <m:rPr>
            <m:sty m:val="p"/>
          </m:rPr>
          <m:t>−</m:t>
        </m:r>
        <m:r>
          <m:t>d</m:t>
        </m:r>
        <m:r>
          <m:t>a</m:t>
        </m:r>
        <m:r>
          <m:t>t</m:t>
        </m:r>
        <m:r>
          <m:t>e</m:t>
        </m:r>
        <m:r>
          <m:rPr>
            <m:sty m:val="p"/>
          </m:rPr>
          <m:t>*</m:t>
        </m:r>
        <m:r>
          <m:rPr>
            <m:sty m:val="p"/>
          </m:rPr>
          <m:t>*</m:t>
        </m:r>
        <m:r>
          <m:t>a</m:t>
        </m:r>
        <m:r>
          <m:t>n</m:t>
        </m:r>
        <m:r>
          <m:t>d</m:t>
        </m:r>
        <m:r>
          <m:t>r</m:t>
        </m:r>
        <m:r>
          <m:t>o</m:t>
        </m:r>
        <m:r>
          <m:t>u</m:t>
        </m:r>
        <m:r>
          <m:t>g</m:t>
        </m:r>
        <m:r>
          <m:t>h</m:t>
        </m:r>
        <m:r>
          <m:t>l</m:t>
        </m:r>
        <m:r>
          <m:t>y</m:t>
        </m:r>
        <m:r>
          <m:rPr>
            <m:sty m:val="p"/>
          </m:rPr>
          <m:t>*</m:t>
        </m:r>
        <m:r>
          <m:rPr>
            <m:sty m:val="p"/>
          </m:rPr>
          <m:t>*</m:t>
        </m:r>
        <m:r>
          <m:t>22</m:t>
        </m:r>
      </m:oMath>
      <w:r>
        <w:rPr>
          <w:b/>
          <w:bCs/>
        </w:rPr>
        <w:t xml:space="preserve">236)</w:t>
      </w:r>
      <w:r>
        <w:t xml:space="preserve"> </w:t>
      </w:r>
      <w:r>
        <w:t xml:space="preserve">— but it has</w:t>
      </w:r>
      <w:r>
        <w:t xml:space="preserve"> </w:t>
      </w:r>
      <w:r>
        <w:rPr>
          <w:b/>
          <w:bCs/>
        </w:rPr>
        <w:t xml:space="preserve">rallied ~6% over the last three sessions</w:t>
      </w:r>
      <w:r>
        <w:t xml:space="preserve"> </w:t>
      </w:r>
      <w:r>
        <w:t xml:space="preserve">into the print.</w:t>
      </w:r>
    </w:p>
    <w:p>
      <w:pPr>
        <w:pStyle w:val="Compact"/>
        <w:numPr>
          <w:ilvl w:val="0"/>
          <w:numId w:val="1005"/>
        </w:numPr>
      </w:pPr>
      <w:r>
        <w:t xml:space="preserve">The stock heads into earnings with an average analyst price target of about $207.71 versus a share price near $185, and analysts carry a "Moderate Buy" overall rating.</w:t>
      </w:r>
    </w:p>
    <w:p>
      <w:pPr>
        <w:pStyle w:val="Compact"/>
        <w:numPr>
          <w:ilvl w:val="0"/>
          <w:numId w:val="1005"/>
        </w:numPr>
      </w:pPr>
      <w:r>
        <w:rPr>
          <w:b/>
          <w:bCs/>
        </w:rPr>
        <w:t xml:space="preserve">Insider color:</w:t>
      </w:r>
      <w:r>
        <w:t xml:space="preserve"> </w:t>
      </w:r>
      <w:r>
        <w:t xml:space="preserve">the Hershey Trust (Milton Hershey School, a 10% owner) continues small, pre-planned weekly sales (~$1.7M each), and CFO Voskuil made a small planned $255K sale — routine 10b5-1 activity, not a signal.</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Don't be spooked by a flat/soft headline organic number — that's baked in and pre-explained by Q1 shipment timing. The bull thesis hinges on</w:t>
      </w:r>
      <w:r>
        <w:t xml:space="preserve"> </w:t>
      </w:r>
      <w:r>
        <w:rPr>
          <w:b/>
          <w:bCs/>
        </w:rPr>
        <w:t xml:space="preserve">margin</w:t>
      </w:r>
      <w:r>
        <w:t xml:space="preserve">: Q2 should be the first quarter the cocoa deflation tailwind visibly expands gross margin (guided ~+300 bps), setting up an even bigger back half (&gt;500 bps). The two swing factors for the reaction are</w:t>
      </w:r>
      <w:r>
        <w:t xml:space="preserve"> </w:t>
      </w:r>
      <w:r>
        <w:rPr>
          <w:b/>
          <w:bCs/>
        </w:rPr>
        <w:t xml:space="preserve">(1) whether management raises full-year EPS guidance</w:t>
      </w:r>
      <w:r>
        <w:t xml:space="preserve"> </w:t>
      </w:r>
      <w:r>
        <w:t xml:space="preserve">at this mid-year checkpoint (upside catalyst; a plain reaffirmation may underwhelm), and</w:t>
      </w:r>
      <w:r>
        <w:t xml:space="preserve"> </w:t>
      </w:r>
      <w:r>
        <w:rPr>
          <w:b/>
          <w:bCs/>
        </w:rPr>
        <w:t xml:space="preserve">(2) evidence that confection market share is stabilizing</w:t>
      </w:r>
      <w:r>
        <w:t xml:space="preserve"> </w:t>
      </w:r>
      <w:r>
        <w:t xml:space="preserve">ahead of the Halloween/holiday tent-pole ramp. Underlying May/June consumption trends and any commentary on competitive intensity as cocoa falls are the tells.</w:t>
      </w:r>
    </w:p>
    <w:p>
      <w:pPr>
        <w:pStyle w:val="BodyText"/>
      </w:pPr>
      <w:r>
        <w:rPr>
          <w:i/>
          <w:iCs/>
        </w:rPr>
        <w:t xml:space="preserve">Preview based on Hershey's Q1 2026 release and earnings call, the Q2 2025 comparison release, current consensus, cocoa pricing, and recent news. Not investment advice.</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2026-07-29T18:13:51Z</dcterms:created>
  <dcterms:modified xsi:type="dcterms:W3CDTF">2026-07-29T18:13:51Z</dcterms:modified>
</cp:coreProperties>
</file>

<file path=docProps/custom.xml><?xml version="1.0" encoding="utf-8"?>
<Properties xmlns="http://schemas.openxmlformats.org/officeDocument/2006/custom-properties" xmlns:vt="http://schemas.openxmlformats.org/officeDocument/2006/docPropsVTypes"/>
</file>