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y-earnings-predictions--2026-07-30"/>
    <w:p>
      <w:pPr>
        <w:pStyle w:val="Heading1"/>
      </w:pPr>
      <w:r>
        <w:t xml:space="preserve">HSY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 vs. cons $1.46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~$2.62B vs. cons $2.63B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Gross Margin Expansion (bps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~+350bps vs. cons/guide ~+300bps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~+35-38% (~</w:t>
            </w:r>
            <m:oMath>
              <m:r>
                <m:t>8.60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30</m:t>
              </m:r>
              <m:r>
                <m:rPr>
                  <m:sty m:val="p"/>
                </m:rPr>
                <m:t>−</m:t>
              </m:r>
              <m:r>
                <m:t>35</m:t>
              </m:r>
            </m:oMath>
            <w:r>
              <w:t xml:space="preserve">8.36 midpoint)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Net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~3.0% (reaffirmed 2.5-3.5% range) vs. cons ~3.0%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Cocoa Cost Relief / EPS Recovery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~increasingly confident 'outsized' EPS recovery aided by cocoa downside vs. cons cautious moderate 2027 growth view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likely EPS beat plus a guidance raise (implicit via mid-year 'better read' comment and explicit cocoa tailwind commentary) should trigger upward FY26/FY27 estimate revisions from sell-side models, especially since gross-margin inflection (300bps+ Q2, 500bps+ H2) is the core re-rating catalyst investors have been waiting on since the March Investor Day; out-period math (2027 'outsized' EPS recovery year getting de-risked by falling cocoa) supports continued analyst upgrades rather than a fade, though the stock's already-strong pre-print run (+8% in the week prior) caps the magnitude of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2026-07-29T18:17:03Z</dcterms:created>
  <dcterms:modified xsi:type="dcterms:W3CDTF">2026-07-29T18:17:03Z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