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521bb3b995b753e32a793179700294393bdd528"/>
    <w:p>
      <w:pPr>
        <w:pStyle w:val="Heading1"/>
      </w:pPr>
      <w:r>
        <w:t xml:space="preserve">The Hershey Company (HSY) — 2026 Q2 Earnings Preview</w:t>
      </w:r>
    </w:p>
    <w:p>
      <w:pPr>
        <w:pStyle w:val="FirstParagraph"/>
      </w:pPr>
      <w:r>
        <w:rPr>
          <w:b/>
          <w:bCs/>
        </w:rPr>
        <w:t xml:space="preserve">Report date:</w:t>
      </w:r>
      <w:r>
        <w:t xml:space="preserve"> </w:t>
      </w:r>
      <w:r>
        <w:t xml:space="preserve">Thursday, July 30, 2026</w:t>
      </w:r>
      <w:r>
        <w:br/>
      </w:r>
      <w:r>
        <w:rPr>
          <w:b/>
          <w:bCs/>
        </w:rPr>
        <w:t xml:space="preserve">Conference call:</w:t>
      </w:r>
      <w:r>
        <w:t xml:space="preserve"> </w:t>
      </w:r>
      <w:r>
        <w:t xml:space="preserve">8:30 a.m. ET</w:t>
      </w:r>
      <w:r>
        <w:br/>
      </w:r>
      <w:r>
        <w:rPr>
          <w:b/>
          <w:bCs/>
        </w:rPr>
        <w:t xml:space="preserve">Most recent close:</w:t>
      </w:r>
      <w:r>
        <w:t xml:space="preserve"> </w:t>
      </w:r>
      <w:r>
        <w:t xml:space="preserve">$184.41 on July 29</w:t>
      </w:r>
    </w:p>
    <w:bookmarkStart w:id="9" w:name="executive-view"/>
    <w:p>
      <w:pPr>
        <w:pStyle w:val="Heading2"/>
      </w:pPr>
      <w:r>
        <w:t xml:space="preserve">Executive view</w:t>
      </w:r>
    </w:p>
    <w:p>
      <w:pPr>
        <w:pStyle w:val="FirstParagraph"/>
      </w:pPr>
      <w:r>
        <w:t xml:space="preserve">Hershey’s second quarter is principally a</w:t>
      </w:r>
      <w:r>
        <w:t xml:space="preserve"> </w:t>
      </w:r>
      <w:r>
        <w:rPr>
          <w:b/>
          <w:bCs/>
        </w:rPr>
        <w:t xml:space="preserve">margin-recovery and guidance event</w:t>
      </w:r>
      <w:r>
        <w:t xml:space="preserve">, not a clean test of reported revenue growth.</w:t>
      </w:r>
    </w:p>
    <w:p>
      <w:pPr>
        <w:pStyle w:val="BodyText"/>
      </w:pPr>
      <w:r>
        <w:t xml:space="preserve">Management already warned that North America Confectionery organic sales would be</w:t>
      </w:r>
      <w:r>
        <w:t xml:space="preserve"> </w:t>
      </w:r>
      <w:r>
        <w:rPr>
          <w:b/>
          <w:bCs/>
        </w:rPr>
        <w:t xml:space="preserve">slightly negative</w:t>
      </w:r>
      <w:r>
        <w:t xml:space="preserve"> </w:t>
      </w:r>
      <w:r>
        <w:t xml:space="preserve">in Q2 because strong Easter sell-through pulled shipments and spring programming into Q1. Meanwhile, the prior-year comparison is unusually difficult: Q2 2025 organic sales grew 26.3% because of ERP-related inventory normalization, Easter timing and early Halloween shipments.</w:t>
      </w:r>
    </w:p>
    <w:p>
      <w:pPr>
        <w:pStyle w:val="BodyText"/>
      </w:pPr>
      <w:r>
        <w:t xml:space="preserve">Investors should therefore look past the headline sales comparison and focus on four questions:</w:t>
      </w:r>
    </w:p>
    <w:p>
      <w:pPr>
        <w:pStyle w:val="Compact"/>
        <w:numPr>
          <w:ilvl w:val="0"/>
          <w:numId w:val="1001"/>
        </w:numPr>
      </w:pPr>
      <w:r>
        <w:rPr>
          <w:b/>
          <w:bCs/>
        </w:rPr>
        <w:t xml:space="preserve">Did adjusted gross margin expand by nearly 300 basis points as promised?</w:t>
      </w:r>
    </w:p>
    <w:p>
      <w:pPr>
        <w:pStyle w:val="Compact"/>
        <w:numPr>
          <w:ilvl w:val="0"/>
          <w:numId w:val="1001"/>
        </w:numPr>
      </w:pPr>
      <w:r>
        <w:rPr>
          <w:b/>
          <w:bCs/>
        </w:rPr>
        <w:t xml:space="preserve">Are confection consumption, market share and price elasticity holding up after substantial pricing?</w:t>
      </w:r>
    </w:p>
    <w:p>
      <w:pPr>
        <w:pStyle w:val="Compact"/>
        <w:numPr>
          <w:ilvl w:val="0"/>
          <w:numId w:val="1001"/>
        </w:numPr>
      </w:pPr>
      <w:r>
        <w:rPr>
          <w:b/>
          <w:bCs/>
        </w:rPr>
        <w:t xml:space="preserve">Can management maintain—or raise—full-year guidance despite a more difficult consumer and cost backdrop?</w:t>
      </w:r>
    </w:p>
    <w:p>
      <w:pPr>
        <w:pStyle w:val="Compact"/>
        <w:numPr>
          <w:ilvl w:val="0"/>
          <w:numId w:val="1001"/>
        </w:numPr>
      </w:pPr>
      <w:r>
        <w:rPr>
          <w:b/>
          <w:bCs/>
        </w:rPr>
        <w:t xml:space="preserve">Is Hershey still confident in another large earnings-recovery year in 2027?</w:t>
      </w:r>
    </w:p>
    <w:p>
      <w:pPr>
        <w:pStyle w:val="FirstParagraph"/>
      </w:pPr>
      <w:r>
        <w:t xml:space="preserve">The most constructive outcome would be a relatively soft but well-explained top line, strong gross-margin delivery, stable consumption trends and at least a modest increase to full-year expectations. A weak margin result or evidence that confection volumes are deteriorating more than planned would be much harder to dismiss as timing.</w:t>
      </w:r>
    </w:p>
    <w:p>
      <w:r>
        <w:pict>
          <v:rect style="width:0;height:1.5pt" o:hralign="center" o:hrstd="t" o:hr="t"/>
        </w:pict>
      </w:r>
    </w:p>
    <w:bookmarkEnd w:id="9"/>
    <w:bookmarkStart w:id="10" w:name="key-financial-reference-points"/>
    <w:p>
      <w:pPr>
        <w:pStyle w:val="Heading2"/>
      </w:pPr>
      <w:r>
        <w:t xml:space="preserve">Key financial reference points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Q1 2026 result</w:t>
            </w:r>
          </w:p>
        </w:tc>
        <w:tc>
          <w:tcPr/>
          <w:p>
            <w:pPr>
              <w:pStyle w:val="Compact"/>
            </w:pPr>
            <w:r>
              <w:t xml:space="preserve">Q2 setup / company expectation</w:t>
            </w:r>
          </w:p>
        </w:tc>
      </w:tr>
      <w:tr>
        <w:tc>
          <w:tcPr/>
          <w:p>
            <w:pPr>
              <w:pStyle w:val="Compact"/>
            </w:pPr>
            <w:r>
              <w:t xml:space="preserve">Net sales</w:t>
            </w:r>
          </w:p>
        </w:tc>
        <w:tc>
          <w:tcPr/>
          <w:p>
            <w:pPr>
              <w:pStyle w:val="Compact"/>
              <w:jc w:val="right"/>
            </w:pPr>
            <w:r>
              <w:t xml:space="preserve">$3.10B, +10.6%</w:t>
            </w:r>
          </w:p>
        </w:tc>
        <w:tc>
          <w:tcPr/>
          <w:p>
            <w:pPr>
              <w:pStyle w:val="Compact"/>
            </w:pPr>
            <w:r>
              <w:t xml:space="preserve">Difficult comparison; North America Confectionery organic sales expected slightly down</w:t>
            </w:r>
          </w:p>
        </w:tc>
      </w:tr>
      <w:tr>
        <w:tc>
          <w:tcPr/>
          <w:p>
            <w:pPr>
              <w:pStyle w:val="Compact"/>
            </w:pPr>
            <w:r>
              <w:t xml:space="preserve">Organic sales</w:t>
            </w:r>
          </w:p>
        </w:tc>
        <w:tc>
          <w:tcPr/>
          <w:p>
            <w:pPr>
              <w:pStyle w:val="Compact"/>
              <w:jc w:val="right"/>
            </w:pPr>
            <w:r>
              <w:t xml:space="preserve">+7.9%</w:t>
            </w:r>
          </w:p>
        </w:tc>
        <w:tc>
          <w:tcPr/>
          <w:p>
            <w:pPr>
              <w:pStyle w:val="Compact"/>
            </w:pPr>
            <w:r>
              <w:t xml:space="preserve">Timing reversals should pressure growth</w:t>
            </w:r>
          </w:p>
        </w:tc>
      </w:tr>
      <w:tr>
        <w:tc>
          <w:tcPr/>
          <w:p>
            <w:pPr>
              <w:pStyle w:val="Compact"/>
            </w:pPr>
            <w:r>
              <w:t xml:space="preserve">Organic price</w:t>
            </w:r>
          </w:p>
        </w:tc>
        <w:tc>
          <w:tcPr/>
          <w:p>
            <w:pPr>
              <w:pStyle w:val="Compact"/>
              <w:jc w:val="right"/>
            </w:pPr>
            <w:r>
              <w:t xml:space="preserve">Approximately +10%</w:t>
            </w:r>
          </w:p>
        </w:tc>
        <w:tc>
          <w:tcPr/>
          <w:p>
            <w:pPr>
              <w:pStyle w:val="Compact"/>
            </w:pPr>
            <w:r>
              <w:t xml:space="preserve">Pricing remains the main revenue support</w:t>
            </w:r>
          </w:p>
        </w:tc>
      </w:tr>
      <w:tr>
        <w:tc>
          <w:tcPr/>
          <w:p>
            <w:pPr>
              <w:pStyle w:val="Compact"/>
            </w:pPr>
            <w:r>
              <w:t xml:space="preserve">Organic volume/mix</w:t>
            </w:r>
          </w:p>
        </w:tc>
        <w:tc>
          <w:tcPr/>
          <w:p>
            <w:pPr>
              <w:pStyle w:val="Compact"/>
              <w:jc w:val="right"/>
            </w:pPr>
            <w:r>
              <w:t xml:space="preserve">Approximately -2%</w:t>
            </w:r>
          </w:p>
        </w:tc>
        <w:tc>
          <w:tcPr/>
          <w:p>
            <w:pPr>
              <w:pStyle w:val="Compact"/>
            </w:pPr>
            <w:r>
              <w:t xml:space="preserve">Watch for worsening elasticity as new price-pack architecture reaches shelves</w:t>
            </w:r>
          </w:p>
        </w:tc>
      </w:tr>
      <w:tr>
        <w:tc>
          <w:tcPr/>
          <w:p>
            <w:pPr>
              <w:pStyle w:val="Compact"/>
            </w:pPr>
            <w:r>
              <w:t xml:space="preserve">Adjusted gross margin</w:t>
            </w:r>
          </w:p>
        </w:tc>
        <w:tc>
          <w:tcPr/>
          <w:p>
            <w:pPr>
              <w:pStyle w:val="Compact"/>
              <w:jc w:val="right"/>
            </w:pPr>
            <w:r>
              <w:t xml:space="preserve">40.4%, -80 bps</w:t>
            </w:r>
          </w:p>
        </w:tc>
        <w:tc>
          <w:tcPr/>
          <w:p>
            <w:pPr>
              <w:pStyle w:val="Compact"/>
            </w:pPr>
            <w:r>
              <w:t xml:space="preserve">Management expects nearly</w:t>
            </w:r>
            <w:r>
              <w:t xml:space="preserve"> </w:t>
            </w:r>
            <w:r>
              <w:rPr>
                <w:b/>
                <w:bCs/>
              </w:rPr>
              <w:t xml:space="preserve">300 bps of expansion</w:t>
            </w:r>
          </w:p>
        </w:tc>
      </w:tr>
      <w:tr>
        <w:tc>
          <w:tcPr/>
          <w:p>
            <w:pPr>
              <w:pStyle w:val="Compact"/>
            </w:pPr>
            <w:r>
              <w:t xml:space="preserve">Adjusted operating margin</w:t>
            </w:r>
          </w:p>
        </w:tc>
        <w:tc>
          <w:tcPr/>
          <w:p>
            <w:pPr>
              <w:pStyle w:val="Compact"/>
              <w:jc w:val="right"/>
            </w:pPr>
            <w:r>
              <w:t xml:space="preserve">22.1%, +40 bps</w:t>
            </w:r>
          </w:p>
        </w:tc>
        <w:tc>
          <w:tcPr/>
          <w:p>
            <w:pPr>
              <w:pStyle w:val="Compact"/>
            </w:pPr>
            <w:r>
              <w:t xml:space="preserve">Gross-margin recovery partly reinvested in advertising</w:t>
            </w:r>
          </w:p>
        </w:tc>
      </w:tr>
      <w:tr>
        <w:tc>
          <w:tcPr/>
          <w:p>
            <w:pPr>
              <w:pStyle w:val="Compact"/>
            </w:pPr>
            <w:r>
              <w:t xml:space="preserve">Adjusted EPS</w:t>
            </w:r>
          </w:p>
        </w:tc>
        <w:tc>
          <w:tcPr/>
          <w:p>
            <w:pPr>
              <w:pStyle w:val="Compact"/>
              <w:jc w:val="right"/>
            </w:pPr>
            <w:r>
              <w:t xml:space="preserve">$2.35, +12.4%</w:t>
            </w:r>
          </w:p>
        </w:tc>
        <w:tc>
          <w:tcPr/>
          <w:p>
            <w:pPr>
              <w:pStyle w:val="Compact"/>
            </w:pPr>
            <w:r>
              <w:t xml:space="preserve">Prior-year Q2 adjusted EPS was $1.21</w:t>
            </w:r>
          </w:p>
        </w:tc>
      </w:tr>
      <w:tr>
        <w:tc>
          <w:tcPr/>
          <w:p>
            <w:pPr>
              <w:pStyle w:val="Compact"/>
            </w:pPr>
            <w:r>
              <w:t xml:space="preserve">FY adjusted EPS guidance</w:t>
            </w:r>
          </w:p>
        </w:tc>
        <w:tc>
          <w:tcPr/>
          <w:p>
            <w:pPr>
              <w:pStyle w:val="Compact"/>
              <w:jc w:val="right"/>
            </w:pPr>
            <m:oMath>
              <m:r>
                <m:t>8.20</m:t>
              </m:r>
              <m:r>
                <m:rPr>
                  <m:sty m:val="p"/>
                </m:rPr>
                <m:t>−</m:t>
              </m:r>
            </m:oMath>
            <w:r>
              <w:t xml:space="preserve">8.52, +30%-35%</w:t>
            </w:r>
          </w:p>
        </w:tc>
        <w:tc>
          <w:tcPr/>
          <w:p>
            <w:pPr>
              <w:pStyle w:val="Compact"/>
            </w:pPr>
            <w:r>
              <w:t xml:space="preserve">Guidance decision is likely the largest stock catalyst</w:t>
            </w:r>
          </w:p>
        </w:tc>
      </w:tr>
      <w:tr>
        <w:tc>
          <w:tcPr/>
          <w:p>
            <w:pPr>
              <w:pStyle w:val="Compact"/>
            </w:pPr>
            <w:r>
              <w:t xml:space="preserve">FY reported sales growth</w:t>
            </w:r>
          </w:p>
        </w:tc>
        <w:tc>
          <w:tcPr/>
          <w:p>
            <w:pPr>
              <w:pStyle w:val="Compact"/>
              <w:jc w:val="right"/>
            </w:pPr>
            <w:r>
              <w:t xml:space="preserve">+4%-5%</w:t>
            </w:r>
          </w:p>
        </w:tc>
        <w:tc>
          <w:tcPr/>
          <w:p>
            <w:pPr>
              <w:pStyle w:val="Compact"/>
            </w:pPr>
            <w:r>
              <w:t xml:space="preserve">Includes roughly 150 bps from LesserEvil</w:t>
            </w:r>
          </w:p>
        </w:tc>
      </w:tr>
      <w:tr>
        <w:tc>
          <w:tcPr/>
          <w:p>
            <w:pPr>
              <w:pStyle w:val="Compact"/>
            </w:pPr>
            <w:r>
              <w:t xml:space="preserve">FY organic growth</w:t>
            </w:r>
          </w:p>
        </w:tc>
        <w:tc>
          <w:tcPr/>
          <w:p>
            <w:pPr>
              <w:pStyle w:val="Compact"/>
              <w:jc w:val="right"/>
            </w:pPr>
            <w:r>
              <w:t xml:space="preserve">+2.5%-3.5%</w:t>
            </w:r>
          </w:p>
        </w:tc>
        <w:tc>
          <w:tcPr/>
          <w:p>
            <w:pPr>
              <w:pStyle w:val="Compact"/>
            </w:pPr>
            <w:r>
              <w:t xml:space="preserve">Requires better momentum after the Q2 timing disruption</w:t>
            </w:r>
          </w:p>
        </w:tc>
      </w:tr>
    </w:tbl>
    <w:p>
      <w:pPr>
        <w:pStyle w:val="BodyText"/>
      </w:pPr>
      <w:r>
        <w:t xml:space="preserve">Based on full-year guidance and the Q1 result, Hershey must generate approximately</w:t>
      </w:r>
      <w:r>
        <w:t xml:space="preserve"> </w:t>
      </w:r>
      <m:oMath>
        <m:r>
          <m:t>9.06</m:t>
        </m:r>
        <m:r>
          <m:rPr>
            <m:sty m:val="p"/>
          </m:rPr>
          <m:t>−</m:t>
        </m:r>
      </m:oMath>
      <w:r>
        <w:rPr>
          <w:b/>
          <w:bCs/>
        </w:rPr>
        <w:t xml:space="preserve">9.17 billion of sales over Q2-Q4</w:t>
      </w:r>
      <w:r>
        <w:t xml:space="preserve">, versus $8.89 billion in the same period last year. That equates to roughly</w:t>
      </w:r>
      <w:r>
        <w:t xml:space="preserve"> </w:t>
      </w:r>
      <w:r>
        <w:rPr>
          <w:b/>
          <w:bCs/>
        </w:rPr>
        <w:t xml:space="preserve">2%-3% reported growth over the final nine months</w:t>
      </w:r>
      <w:r>
        <w:t xml:space="preserve">, despite the expected Q2 slowdown.</w:t>
      </w:r>
    </w:p>
    <w:p>
      <w:pPr>
        <w:pStyle w:val="BodyText"/>
      </w:pPr>
      <w:r>
        <w:t xml:space="preserve">For adjusted EPS, the company needs</w:t>
      </w:r>
      <w:r>
        <w:t xml:space="preserve"> </w:t>
      </w:r>
      <m:oMath>
        <m:r>
          <m:t>5.85</m:t>
        </m:r>
        <m:r>
          <m:rPr>
            <m:sty m:val="p"/>
          </m:rPr>
          <m:t>−</m:t>
        </m:r>
      </m:oMath>
      <w:r>
        <w:rPr>
          <w:b/>
          <w:bCs/>
        </w:rPr>
        <w:t xml:space="preserve">6.17 over Q2-Q4</w:t>
      </w:r>
      <w:r>
        <w:t xml:space="preserve">, compared with $4.22 last year. This implies approximately</w:t>
      </w:r>
      <w:r>
        <w:t xml:space="preserve"> </w:t>
      </w:r>
      <w:r>
        <w:rPr>
          <w:b/>
          <w:bCs/>
        </w:rPr>
        <w:t xml:space="preserve">39%-46% growth</w:t>
      </w:r>
      <w:r>
        <w:t xml:space="preserve"> </w:t>
      </w:r>
      <w:r>
        <w:t xml:space="preserve">over the balance of 2026, making margin recovery—not revenue growth—the core earnings story.</w:t>
      </w:r>
    </w:p>
    <w:p>
      <w:r>
        <w:pict>
          <v:rect style="width:0;height:1.5pt" o:hralign="center" o:hrstd="t" o:hr="t"/>
        </w:pict>
      </w:r>
    </w:p>
    <w:bookmarkEnd w:id="10"/>
    <w:bookmarkStart w:id="13" w:name="X947acf0e4eacd72d815cdf6bd45d215ae531f22"/>
    <w:p>
      <w:pPr>
        <w:pStyle w:val="Heading2"/>
      </w:pPr>
      <w:r>
        <w:t xml:space="preserve">1. The top-line comparison will be noisy</w:t>
      </w:r>
    </w:p>
    <w:bookmarkStart w:id="11" w:name="X399f875e25ba301bdbbad9b32bbc3d8063b786d"/>
    <w:p>
      <w:pPr>
        <w:pStyle w:val="Heading3"/>
      </w:pPr>
      <w:r>
        <w:t xml:space="preserve">What management has already told investors</w:t>
      </w:r>
    </w:p>
    <w:p>
      <w:pPr>
        <w:pStyle w:val="FirstParagraph"/>
      </w:pPr>
      <w:r>
        <w:t xml:space="preserve">Q1 benefited from:</w:t>
      </w:r>
    </w:p>
    <w:p>
      <w:pPr>
        <w:pStyle w:val="Compact"/>
        <w:numPr>
          <w:ilvl w:val="0"/>
          <w:numId w:val="1002"/>
        </w:numPr>
      </w:pPr>
      <w:r>
        <w:t xml:space="preserve">Earlier shipment of some spring and S’mores programming following strong Easter sell-through.</w:t>
      </w:r>
    </w:p>
    <w:p>
      <w:pPr>
        <w:pStyle w:val="Compact"/>
        <w:numPr>
          <w:ilvl w:val="0"/>
          <w:numId w:val="1002"/>
        </w:numPr>
      </w:pPr>
      <w:r>
        <w:t xml:space="preserve">A modest pull-forward of international orders as customers prepared for possible Middle East disruption.</w:t>
      </w:r>
    </w:p>
    <w:p>
      <w:pPr>
        <w:pStyle w:val="Compact"/>
        <w:numPr>
          <w:ilvl w:val="0"/>
          <w:numId w:val="1002"/>
        </w:numPr>
      </w:pPr>
      <w:r>
        <w:t xml:space="preserve">Seasonal timing that will reverse in Q2.</w:t>
      </w:r>
    </w:p>
    <w:p>
      <w:pPr>
        <w:pStyle w:val="FirstParagraph"/>
      </w:pPr>
      <w:r>
        <w:t xml:space="preserve">Management explicitly said North America Confectionery organic sales should be</w:t>
      </w:r>
      <w:r>
        <w:t xml:space="preserve"> </w:t>
      </w:r>
      <w:r>
        <w:rPr>
          <w:b/>
          <w:bCs/>
        </w:rPr>
        <w:t xml:space="preserve">slightly down</w:t>
      </w:r>
      <w:r>
        <w:t xml:space="preserve"> </w:t>
      </w:r>
      <w:r>
        <w:t xml:space="preserve">in Q2. Consequently, a negative confection number should not automatically be interpreted as a demand miss.</w:t>
      </w:r>
    </w:p>
    <w:p>
      <w:pPr>
        <w:pStyle w:val="BodyText"/>
      </w:pPr>
      <w:r>
        <w:t xml:space="preserve">The more informative disclosures will be:</w:t>
      </w:r>
    </w:p>
    <w:p>
      <w:pPr>
        <w:pStyle w:val="Compact"/>
        <w:numPr>
          <w:ilvl w:val="0"/>
          <w:numId w:val="1003"/>
        </w:numPr>
      </w:pPr>
      <w:r>
        <w:t xml:space="preserve">U.S. candy, mint and gum retail takeaway.</w:t>
      </w:r>
    </w:p>
    <w:p>
      <w:pPr>
        <w:pStyle w:val="Compact"/>
        <w:numPr>
          <w:ilvl w:val="0"/>
          <w:numId w:val="1003"/>
        </w:numPr>
      </w:pPr>
      <w:r>
        <w:t xml:space="preserve">Non-seasonal growth for Hershey’s and Reese’s.</w:t>
      </w:r>
    </w:p>
    <w:p>
      <w:pPr>
        <w:pStyle w:val="Compact"/>
        <w:numPr>
          <w:ilvl w:val="0"/>
          <w:numId w:val="1003"/>
        </w:numPr>
      </w:pPr>
      <w:r>
        <w:t xml:space="preserve">Market-share performance.</w:t>
      </w:r>
    </w:p>
    <w:p>
      <w:pPr>
        <w:pStyle w:val="Compact"/>
        <w:numPr>
          <w:ilvl w:val="0"/>
          <w:numId w:val="1003"/>
        </w:numPr>
      </w:pPr>
      <w:r>
        <w:t xml:space="preserve">April weakness versus the recovery management expected in May and June.</w:t>
      </w:r>
    </w:p>
    <w:p>
      <w:pPr>
        <w:pStyle w:val="Compact"/>
        <w:numPr>
          <w:ilvl w:val="0"/>
          <w:numId w:val="1003"/>
        </w:numPr>
      </w:pPr>
      <w:r>
        <w:t xml:space="preserve">Volume elasticity following recent pricing.</w:t>
      </w:r>
    </w:p>
    <w:p>
      <w:pPr>
        <w:pStyle w:val="Compact"/>
        <w:numPr>
          <w:ilvl w:val="0"/>
          <w:numId w:val="1003"/>
        </w:numPr>
      </w:pPr>
      <w:r>
        <w:t xml:space="preserve">Shipment growth relative to measured consumption.</w:t>
      </w:r>
    </w:p>
    <w:bookmarkEnd w:id="11"/>
    <w:bookmarkStart w:id="12" w:name="the-hurdle"/>
    <w:p>
      <w:pPr>
        <w:pStyle w:val="Heading3"/>
      </w:pPr>
      <w:r>
        <w:t xml:space="preserve">The hurdle</w:t>
      </w:r>
    </w:p>
    <w:p>
      <w:pPr>
        <w:pStyle w:val="FirstParagraph"/>
      </w:pPr>
      <w:r>
        <w:t xml:space="preserve">In Q1, U.S. confection retail takeaway rose 8.1%, while flagship non-seasonal retail sales increased 11% for Hershey’s and 10% for Reese’s. However, Hershey lost category share because of heavier competitor innovation and merchandising.</w:t>
      </w:r>
    </w:p>
    <w:p>
      <w:pPr>
        <w:pStyle w:val="BodyText"/>
      </w:pPr>
      <w:r>
        <w:t xml:space="preserve">A credible Q2 result should show that:</w:t>
      </w:r>
    </w:p>
    <w:p>
      <w:pPr>
        <w:pStyle w:val="Compact"/>
        <w:numPr>
          <w:ilvl w:val="0"/>
          <w:numId w:val="1004"/>
        </w:numPr>
      </w:pPr>
      <w:r>
        <w:t xml:space="preserve">Consumption remained positive after the Easter distortion.</w:t>
      </w:r>
    </w:p>
    <w:p>
      <w:pPr>
        <w:pStyle w:val="Compact"/>
        <w:numPr>
          <w:ilvl w:val="0"/>
          <w:numId w:val="1004"/>
        </w:numPr>
      </w:pPr>
      <w:r>
        <w:t xml:space="preserve">The share gap stabilized as spring shelf resets and merchandising programs took effect.</w:t>
      </w:r>
    </w:p>
    <w:p>
      <w:pPr>
        <w:pStyle w:val="Compact"/>
        <w:numPr>
          <w:ilvl w:val="0"/>
          <w:numId w:val="1004"/>
        </w:numPr>
      </w:pPr>
      <w:r>
        <w:t xml:space="preserve">Volume declines remained consistent with management’s assumptions rather than worsening materially.</w:t>
      </w:r>
    </w:p>
    <w:p>
      <w:pPr>
        <w:pStyle w:val="FirstParagraph"/>
      </w:pPr>
      <w:r>
        <w:rPr>
          <w:b/>
          <w:bCs/>
        </w:rPr>
        <w:t xml:space="preserve">Red flag:</w:t>
      </w:r>
      <w:r>
        <w:t xml:space="preserve"> </w:t>
      </w:r>
      <w:r>
        <w:t xml:space="preserve">Weak retail takeaway accompanied by deeper volume declines, rather than merely weak shipments, would suggest that elevated prices are beginning to impair underlying demand.</w:t>
      </w:r>
    </w:p>
    <w:p>
      <w:r>
        <w:pict>
          <v:rect style="width:0;height:1.5pt" o:hralign="center" o:hrstd="t" o:hr="t"/>
        </w:pict>
      </w:r>
    </w:p>
    <w:bookmarkEnd w:id="12"/>
    <w:bookmarkEnd w:id="13"/>
    <w:bookmarkStart w:id="15" w:name="X79fb846ee986652286fd5736ac4fef449c0ee0a"/>
    <w:p>
      <w:pPr>
        <w:pStyle w:val="Heading2"/>
      </w:pPr>
      <w:r>
        <w:t xml:space="preserve">2. Gross margin is the quarter’s most important number</w:t>
      </w:r>
    </w:p>
    <w:p>
      <w:pPr>
        <w:pStyle w:val="FirstParagraph"/>
      </w:pPr>
      <w:r>
        <w:t xml:space="preserve">Hershey’s adjusted gross margin declined 80 basis points to 40.4% in Q1 as commodity and tariff costs exceeded the benefits of pricing and productivity. Management expects the inflection to begin in Q2, forecasting</w:t>
      </w:r>
      <w:r>
        <w:t xml:space="preserve"> </w:t>
      </w:r>
      <w:r>
        <w:rPr>
          <w:b/>
          <w:bCs/>
        </w:rPr>
        <w:t xml:space="preserve">nearly 300 basis points of year-over-year expansion</w:t>
      </w:r>
      <w:r>
        <w:t xml:space="preserve">.</w:t>
      </w:r>
    </w:p>
    <w:p>
      <w:pPr>
        <w:pStyle w:val="BodyText"/>
      </w:pPr>
      <w:r>
        <w:t xml:space="preserve">Against Q2 2025’s adjusted gross margin of 38.1%, that commentary points to a result near</w:t>
      </w:r>
      <w:r>
        <w:t xml:space="preserve"> </w:t>
      </w:r>
      <w:r>
        <w:rPr>
          <w:b/>
          <w:bCs/>
        </w:rPr>
        <w:t xml:space="preserve">41%</w:t>
      </w:r>
      <w:r>
        <w:t xml:space="preserve">.</w:t>
      </w:r>
    </w:p>
    <w:p>
      <w:pPr>
        <w:pStyle w:val="BodyText"/>
      </w:pPr>
      <w:r>
        <w:t xml:space="preserve">The expected improvement should come from:</w:t>
      </w:r>
    </w:p>
    <w:p>
      <w:pPr>
        <w:pStyle w:val="Compact"/>
        <w:numPr>
          <w:ilvl w:val="0"/>
          <w:numId w:val="1005"/>
        </w:numPr>
      </w:pPr>
      <w:r>
        <w:t xml:space="preserve">Previously implemented pricing.</w:t>
      </w:r>
    </w:p>
    <w:p>
      <w:pPr>
        <w:pStyle w:val="Compact"/>
        <w:numPr>
          <w:ilvl w:val="0"/>
          <w:numId w:val="1005"/>
        </w:numPr>
      </w:pPr>
      <w:r>
        <w:t xml:space="preserve">Better alignment between pricing and commodity costs.</w:t>
      </w:r>
    </w:p>
    <w:p>
      <w:pPr>
        <w:pStyle w:val="Compact"/>
        <w:numPr>
          <w:ilvl w:val="0"/>
          <w:numId w:val="1005"/>
        </w:numPr>
      </w:pPr>
      <w:r>
        <w:t xml:space="preserve">Supply-chain productivity.</w:t>
      </w:r>
    </w:p>
    <w:p>
      <w:pPr>
        <w:pStyle w:val="Compact"/>
        <w:numPr>
          <w:ilvl w:val="0"/>
          <w:numId w:val="1005"/>
        </w:numPr>
      </w:pPr>
      <w:r>
        <w:t xml:space="preserve">Advancing Agility &amp; Automation savings.</w:t>
      </w:r>
    </w:p>
    <w:p>
      <w:pPr>
        <w:pStyle w:val="Compact"/>
        <w:numPr>
          <w:ilvl w:val="0"/>
          <w:numId w:val="1005"/>
        </w:numPr>
      </w:pPr>
      <w:r>
        <w:t xml:space="preserve">Easier comparison against the prior year’s elevated cocoa and manufacturing costs.</w:t>
      </w:r>
    </w:p>
    <w:bookmarkStart w:id="14" w:name="X5f0fac419a07b8a69f4e582fbbd795e234ad8b2"/>
    <w:p>
      <w:pPr>
        <w:pStyle w:val="Heading3"/>
      </w:pPr>
      <w:r>
        <w:t xml:space="preserve">Why gross margin matters more than operating margin</w:t>
      </w:r>
    </w:p>
    <w:p>
      <w:pPr>
        <w:pStyle w:val="FirstParagraph"/>
      </w:pPr>
      <w:r>
        <w:t xml:space="preserve">Hershey plans a double-digit increase in full-year advertising and consumer marketing. Some Q1 spending also moved into Q2, including media-development costs and spring activations.</w:t>
      </w:r>
    </w:p>
    <w:p>
      <w:pPr>
        <w:pStyle w:val="BodyText"/>
      </w:pPr>
      <w:r>
        <w:t xml:space="preserve">Therefore, a strong gross-margin result may not flow through one-for-one to operating margin. That is acceptable if:</w:t>
      </w:r>
    </w:p>
    <w:p>
      <w:pPr>
        <w:pStyle w:val="Compact"/>
        <w:numPr>
          <w:ilvl w:val="0"/>
          <w:numId w:val="1006"/>
        </w:numPr>
      </w:pPr>
      <w:r>
        <w:t xml:space="preserve">Brand spending is supporting measurable consumption and share improvement.</w:t>
      </w:r>
    </w:p>
    <w:p>
      <w:pPr>
        <w:pStyle w:val="Compact"/>
        <w:numPr>
          <w:ilvl w:val="0"/>
          <w:numId w:val="1006"/>
        </w:numPr>
      </w:pPr>
      <w:r>
        <w:t xml:space="preserve">Adjusted EPS remains on track.</w:t>
      </w:r>
    </w:p>
    <w:p>
      <w:pPr>
        <w:pStyle w:val="Compact"/>
        <w:numPr>
          <w:ilvl w:val="0"/>
          <w:numId w:val="1006"/>
        </w:numPr>
      </w:pPr>
      <w:r>
        <w:t xml:space="preserve">Management reiterates its expectation for more than 500 basis points of gross-margin expansion in the second half.</w:t>
      </w:r>
    </w:p>
    <w:p>
      <w:pPr>
        <w:pStyle w:val="FirstParagraph"/>
      </w:pPr>
      <w:r>
        <w:rPr>
          <w:b/>
          <w:bCs/>
        </w:rPr>
        <w:t xml:space="preserve">Red flag:</w:t>
      </w:r>
      <w:r>
        <w:t xml:space="preserve"> </w:t>
      </w:r>
      <w:r>
        <w:t xml:space="preserve">Gross margin meaningfully below the roughly 41% company-indicated hurdle would call into question both the 2026 EPS guide and the speed of the 2027 profit recovery.</w:t>
      </w:r>
    </w:p>
    <w:p>
      <w:r>
        <w:pict>
          <v:rect style="width:0;height:1.5pt" o:hralign="center" o:hrstd="t" o:hr="t"/>
        </w:pict>
      </w:r>
    </w:p>
    <w:bookmarkEnd w:id="14"/>
    <w:bookmarkEnd w:id="15"/>
    <w:bookmarkStart w:id="18" w:name="Xbcd2679f359e80af5a339a4bced169e703cb154"/>
    <w:p>
      <w:pPr>
        <w:pStyle w:val="Heading2"/>
      </w:pPr>
      <w:r>
        <w:t xml:space="preserve">3. Full-year guidance is the likely stock catalyst</w:t>
      </w:r>
    </w:p>
    <w:p>
      <w:pPr>
        <w:pStyle w:val="FirstParagraph"/>
      </w:pPr>
      <w:r>
        <w:t xml:space="preserve">Hershey reaffirmed its outlook after a strong first quarter rather than raising it. Management cited continuing uncertainty around:</w:t>
      </w:r>
    </w:p>
    <w:p>
      <w:pPr>
        <w:pStyle w:val="Compact"/>
        <w:numPr>
          <w:ilvl w:val="0"/>
          <w:numId w:val="1007"/>
        </w:numPr>
      </w:pPr>
      <w:r>
        <w:t xml:space="preserve">Consumer affordability.</w:t>
      </w:r>
    </w:p>
    <w:p>
      <w:pPr>
        <w:pStyle w:val="Compact"/>
        <w:numPr>
          <w:ilvl w:val="0"/>
          <w:numId w:val="1007"/>
        </w:numPr>
      </w:pPr>
      <w:r>
        <w:t xml:space="preserve">Gasoline and oil prices.</w:t>
      </w:r>
    </w:p>
    <w:p>
      <w:pPr>
        <w:pStyle w:val="Compact"/>
        <w:numPr>
          <w:ilvl w:val="0"/>
          <w:numId w:val="1007"/>
        </w:numPr>
      </w:pPr>
      <w:r>
        <w:t xml:space="preserve">SNAP restrictions.</w:t>
      </w:r>
    </w:p>
    <w:p>
      <w:pPr>
        <w:pStyle w:val="Compact"/>
        <w:numPr>
          <w:ilvl w:val="0"/>
          <w:numId w:val="1007"/>
        </w:numPr>
      </w:pPr>
      <w:r>
        <w:t xml:space="preserve">GLP-1 adoption.</w:t>
      </w:r>
    </w:p>
    <w:p>
      <w:pPr>
        <w:pStyle w:val="Compact"/>
        <w:numPr>
          <w:ilvl w:val="0"/>
          <w:numId w:val="1007"/>
        </w:numPr>
      </w:pPr>
      <w:r>
        <w:t xml:space="preserve">Tariffs and packaging costs.</w:t>
      </w:r>
    </w:p>
    <w:p>
      <w:pPr>
        <w:pStyle w:val="Compact"/>
        <w:numPr>
          <w:ilvl w:val="0"/>
          <w:numId w:val="1007"/>
        </w:numPr>
      </w:pPr>
      <w:r>
        <w:t xml:space="preserve">Competitive activity.</w:t>
      </w:r>
    </w:p>
    <w:p>
      <w:pPr>
        <w:pStyle w:val="Compact"/>
        <w:numPr>
          <w:ilvl w:val="0"/>
          <w:numId w:val="1007"/>
        </w:numPr>
      </w:pPr>
      <w:r>
        <w:t xml:space="preserve">Price elasticity as revised pack architecture reached shelves.</w:t>
      </w:r>
    </w:p>
    <w:p>
      <w:pPr>
        <w:pStyle w:val="FirstParagraph"/>
      </w:pPr>
      <w:r>
        <w:t xml:space="preserve">At the time, CFO Steven Voskuil said the company would be in a better position to reassess guidance at the midyear mark. That makes Q2 the natural point for a change.</w:t>
      </w:r>
    </w:p>
    <w:bookmarkStart w:id="16" w:name="existing-2026-guidance"/>
    <w:p>
      <w:pPr>
        <w:pStyle w:val="Heading3"/>
      </w:pPr>
      <w:r>
        <w:t xml:space="preserve">Existing 2026 guidance</w:t>
      </w:r>
    </w:p>
    <w:p>
      <w:pPr>
        <w:pStyle w:val="Compact"/>
        <w:numPr>
          <w:ilvl w:val="0"/>
          <w:numId w:val="1008"/>
        </w:numPr>
      </w:pPr>
      <w:r>
        <w:rPr>
          <w:b/>
          <w:bCs/>
        </w:rPr>
        <w:t xml:space="preserve">Reported sales growth:</w:t>
      </w:r>
      <w:r>
        <w:t xml:space="preserve"> </w:t>
      </w:r>
      <w:r>
        <w:t xml:space="preserve">4%-5%.</w:t>
      </w:r>
    </w:p>
    <w:p>
      <w:pPr>
        <w:pStyle w:val="Compact"/>
        <w:numPr>
          <w:ilvl w:val="0"/>
          <w:numId w:val="1008"/>
        </w:numPr>
      </w:pPr>
      <w:r>
        <w:rPr>
          <w:b/>
          <w:bCs/>
        </w:rPr>
        <w:t xml:space="preserve">Organic sales growth:</w:t>
      </w:r>
      <w:r>
        <w:t xml:space="preserve"> </w:t>
      </w:r>
      <w:r>
        <w:t xml:space="preserve">2.5%-3.5%.</w:t>
      </w:r>
    </w:p>
    <w:p>
      <w:pPr>
        <w:pStyle w:val="Compact"/>
        <w:numPr>
          <w:ilvl w:val="0"/>
          <w:numId w:val="1008"/>
        </w:numPr>
      </w:pPr>
      <w:r>
        <w:rPr>
          <w:b/>
          <w:bCs/>
        </w:rPr>
        <w:t xml:space="preserve">Adjusted EPS:</w:t>
      </w:r>
      <w:r>
        <w:t xml:space="preserve"> </w:t>
      </w:r>
      <m:oMath>
        <m:r>
          <m:t>8.20</m:t>
        </m:r>
        <m:r>
          <m:rPr>
            <m:sty m:val="p"/>
          </m:rPr>
          <m:t>−</m:t>
        </m:r>
      </m:oMath>
      <w:r>
        <w:t xml:space="preserve">8.52, up 30%-35%.</w:t>
      </w:r>
    </w:p>
    <w:p>
      <w:pPr>
        <w:pStyle w:val="Compact"/>
        <w:numPr>
          <w:ilvl w:val="0"/>
          <w:numId w:val="1008"/>
        </w:numPr>
      </w:pPr>
      <w:r>
        <w:rPr>
          <w:b/>
          <w:bCs/>
        </w:rPr>
        <w:t xml:space="preserve">Adjusted tax rate:</w:t>
      </w:r>
      <w:r>
        <w:t xml:space="preserve"> </w:t>
      </w:r>
      <w:r>
        <w:t xml:space="preserve">approximately 25%-27%.</w:t>
      </w:r>
    </w:p>
    <w:p>
      <w:pPr>
        <w:pStyle w:val="Compact"/>
        <w:numPr>
          <w:ilvl w:val="0"/>
          <w:numId w:val="1008"/>
        </w:numPr>
      </w:pPr>
      <w:r>
        <w:rPr>
          <w:b/>
          <w:bCs/>
        </w:rPr>
        <w:t xml:space="preserve">Interest expense:</w:t>
      </w:r>
      <w:r>
        <w:t xml:space="preserve"> </w:t>
      </w:r>
      <m:oMath>
        <m:r>
          <m:t>200</m:t>
        </m:r>
        <m:r>
          <m:rPr>
            <m:sty m:val="p"/>
          </m:rPr>
          <m:t>−</m:t>
        </m:r>
      </m:oMath>
      <w:r>
        <w:t xml:space="preserve">210 million.</w:t>
      </w:r>
    </w:p>
    <w:p>
      <w:pPr>
        <w:pStyle w:val="Compact"/>
        <w:numPr>
          <w:ilvl w:val="0"/>
          <w:numId w:val="1008"/>
        </w:numPr>
      </w:pPr>
      <w:r>
        <w:rPr>
          <w:b/>
          <w:bCs/>
        </w:rPr>
        <w:t xml:space="preserve">Capital expenditure:</w:t>
      </w:r>
      <w:r>
        <w:t xml:space="preserve"> </w:t>
      </w:r>
      <m:oMath>
        <m:r>
          <m:t>425</m:t>
        </m:r>
        <m:r>
          <m:rPr>
            <m:sty m:val="p"/>
          </m:rPr>
          <m:t>−</m:t>
        </m:r>
      </m:oMath>
      <w:r>
        <w:t xml:space="preserve">475 million.</w:t>
      </w:r>
    </w:p>
    <w:p>
      <w:pPr>
        <w:pStyle w:val="Compact"/>
        <w:numPr>
          <w:ilvl w:val="0"/>
          <w:numId w:val="1008"/>
        </w:numPr>
      </w:pPr>
      <w:r>
        <w:rPr>
          <w:b/>
          <w:bCs/>
        </w:rPr>
        <w:t xml:space="preserve">Advancing Agility &amp; Automation savings:</w:t>
      </w:r>
      <w:r>
        <w:t xml:space="preserve"> </w:t>
      </w:r>
      <w:r>
        <w:t xml:space="preserve">approximately $100 million.</w:t>
      </w:r>
    </w:p>
    <w:bookmarkEnd w:id="16"/>
    <w:bookmarkStart w:id="17" w:name="possible-outcomes"/>
    <w:p>
      <w:pPr>
        <w:pStyle w:val="Heading3"/>
      </w:pPr>
      <w:r>
        <w:t xml:space="preserve">Possible outcomes</w:t>
      </w:r>
    </w:p>
    <w:p>
      <w:pPr>
        <w:pStyle w:val="FirstParagraph"/>
      </w:pPr>
      <w:r>
        <w:rPr>
          <w:b/>
          <w:bCs/>
        </w:rPr>
        <w:t xml:space="preserve">Bullish:</w:t>
      </w:r>
      <w:r>
        <w:t xml:space="preserve"> </w:t>
      </w:r>
      <w:r>
        <w:t xml:space="preserve">Management raises at least the lower end of adjusted EPS guidance, supported by favorable elasticity, productivity and margin recovery.</w:t>
      </w:r>
    </w:p>
    <w:p>
      <w:pPr>
        <w:pStyle w:val="BodyText"/>
      </w:pPr>
      <w:r>
        <w:rPr>
          <w:b/>
          <w:bCs/>
        </w:rPr>
        <w:t xml:space="preserve">Neutral:</w:t>
      </w:r>
      <w:r>
        <w:t xml:space="preserve"> </w:t>
      </w:r>
      <w:r>
        <w:t xml:space="preserve">Guidance is reaffirmed, but management says it is tracking toward the upper half and retains strong visibility into second-half margins.</w:t>
      </w:r>
    </w:p>
    <w:p>
      <w:pPr>
        <w:pStyle w:val="BodyText"/>
      </w:pPr>
      <w:r>
        <w:rPr>
          <w:b/>
          <w:bCs/>
        </w:rPr>
        <w:t xml:space="preserve">Disappointing:</w:t>
      </w:r>
      <w:r>
        <w:t xml:space="preserve"> </w:t>
      </w:r>
      <w:r>
        <w:t xml:space="preserve">Guidance is reaffirmed without confidence around the upper half, or the sales outlook is reduced because of volume, share or consumer pressure.</w:t>
      </w:r>
    </w:p>
    <w:p>
      <w:pPr>
        <w:pStyle w:val="BodyText"/>
      </w:pPr>
      <w:r>
        <w:t xml:space="preserve">A full-year EPS raise may not be necessary for a positive reaction if Q2 margins are strong and management convincingly frames its caution as macro prudence. Conversely, an EPS beat generated mainly through tax or spending timing would carry less weight.</w:t>
      </w:r>
    </w:p>
    <w:p>
      <w:r>
        <w:pict>
          <v:rect style="width:0;height:1.5pt" o:hralign="center" o:hrstd="t" o:hr="t"/>
        </w:pict>
      </w:r>
    </w:p>
    <w:bookmarkEnd w:id="17"/>
    <w:bookmarkEnd w:id="18"/>
    <w:bookmarkStart w:id="19" w:name="Xb61e03ff22d719c02ce3cf32fa347773c273261"/>
    <w:p>
      <w:pPr>
        <w:pStyle w:val="Heading2"/>
      </w:pPr>
      <w:r>
        <w:t xml:space="preserve">4. Confection share and competitive behavior</w:t>
      </w:r>
    </w:p>
    <w:p>
      <w:pPr>
        <w:pStyle w:val="FirstParagraph"/>
      </w:pPr>
      <w:r>
        <w:t xml:space="preserve">Management described confection pricing as rational in Q1, but acknowledged more competitive innovation and merchandising from both mainstream and premium players.</w:t>
      </w:r>
    </w:p>
    <w:p>
      <w:pPr>
        <w:pStyle w:val="BodyText"/>
      </w:pPr>
      <w:r>
        <w:t xml:space="preserve">The report should clarify whether spring shelf resets improved Hershey’s position. Management previously highlighted:</w:t>
      </w:r>
    </w:p>
    <w:p>
      <w:pPr>
        <w:pStyle w:val="Compact"/>
        <w:numPr>
          <w:ilvl w:val="0"/>
          <w:numId w:val="1009"/>
        </w:numPr>
      </w:pPr>
      <w:r>
        <w:t xml:space="preserve">Net SKU and facing gains across mass, grocery, dollar and drug.</w:t>
      </w:r>
    </w:p>
    <w:p>
      <w:pPr>
        <w:pStyle w:val="Compact"/>
        <w:numPr>
          <w:ilvl w:val="0"/>
          <w:numId w:val="1009"/>
        </w:numPr>
      </w:pPr>
      <w:r>
        <w:t xml:space="preserve">Stand-up bag conversion designed to improve aisle visibility.</w:t>
      </w:r>
    </w:p>
    <w:p>
      <w:pPr>
        <w:pStyle w:val="Compact"/>
        <w:numPr>
          <w:ilvl w:val="0"/>
          <w:numId w:val="1009"/>
        </w:numPr>
      </w:pPr>
      <w:r>
        <w:t xml:space="preserve">More off-shelf merchandising.</w:t>
      </w:r>
    </w:p>
    <w:p>
      <w:pPr>
        <w:pStyle w:val="Compact"/>
        <w:numPr>
          <w:ilvl w:val="0"/>
          <w:numId w:val="1009"/>
        </w:numPr>
      </w:pPr>
      <w:r>
        <w:t xml:space="preserve">Reese’s OREO distribution moving onto the main aisle.</w:t>
      </w:r>
    </w:p>
    <w:p>
      <w:pPr>
        <w:pStyle w:val="Compact"/>
        <w:numPr>
          <w:ilvl w:val="0"/>
          <w:numId w:val="1009"/>
        </w:numPr>
      </w:pPr>
      <w:r>
        <w:t xml:space="preserve">S’mores, Americana and other “tent-pole” programs.</w:t>
      </w:r>
    </w:p>
    <w:p>
      <w:pPr>
        <w:pStyle w:val="Compact"/>
        <w:numPr>
          <w:ilvl w:val="0"/>
          <w:numId w:val="1009"/>
        </w:numPr>
      </w:pPr>
      <w:r>
        <w:t xml:space="preserve">A planned accessible-premium Hershey’s launch later in the year.</w:t>
      </w:r>
    </w:p>
    <w:p>
      <w:pPr>
        <w:pStyle w:val="FirstParagraph"/>
      </w:pPr>
      <w:r>
        <w:t xml:space="preserve">The key distinction is between</w:t>
      </w:r>
      <w:r>
        <w:t xml:space="preserve"> </w:t>
      </w:r>
      <w:r>
        <w:rPr>
          <w:b/>
          <w:bCs/>
        </w:rPr>
        <w:t xml:space="preserve">category resilience</w:t>
      </w:r>
      <w:r>
        <w:t xml:space="preserve"> </w:t>
      </w:r>
      <w:r>
        <w:t xml:space="preserve">and</w:t>
      </w:r>
      <w:r>
        <w:t xml:space="preserve"> </w:t>
      </w:r>
      <w:r>
        <w:rPr>
          <w:b/>
          <w:bCs/>
        </w:rPr>
        <w:t xml:space="preserve">Hershey-specific execution</w:t>
      </w:r>
      <w:r>
        <w:t xml:space="preserve">. The category can remain healthy while Hershey loses share to competitors with more effective innovation or merchandising.</w:t>
      </w:r>
    </w:p>
    <w:p>
      <w:pPr>
        <w:pStyle w:val="BodyText"/>
      </w:pPr>
      <w:r>
        <w:t xml:space="preserve">Investors should listen for concrete evidence—distribution gains, velocity, shelf space and share trends—rather than broad statements about future second-half programming.</w:t>
      </w:r>
    </w:p>
    <w:p>
      <w:r>
        <w:pict>
          <v:rect style="width:0;height:1.5pt" o:hralign="center" o:hrstd="t" o:hr="t"/>
        </w:pict>
      </w:r>
    </w:p>
    <w:bookmarkEnd w:id="19"/>
    <w:bookmarkStart w:id="21" w:name="X3291ff09db6ee49884fc53f790177abe361fe6e"/>
    <w:p>
      <w:pPr>
        <w:pStyle w:val="Heading2"/>
      </w:pPr>
      <w:r>
        <w:t xml:space="preserve">5. Salty Snacks: strong brands, but profitability needs to normalize</w:t>
      </w:r>
    </w:p>
    <w:p>
      <w:pPr>
        <w:pStyle w:val="FirstParagraph"/>
      </w:pPr>
      <w:r>
        <w:t xml:space="preserve">Q1 North America Salty Snacks sales grew 26%, including approximately 20 percentage points from LesserEvil. Organic growth was 5.6%, with branded retail takeaway excluding LesserEvil up 9.8%.</w:t>
      </w:r>
    </w:p>
    <w:p>
      <w:pPr>
        <w:pStyle w:val="BodyText"/>
      </w:pPr>
      <w:r>
        <w:t xml:space="preserve">However, segment income declined 18%, and margin fell 530 basis points to 9.8% because of:</w:t>
      </w:r>
    </w:p>
    <w:p>
      <w:pPr>
        <w:pStyle w:val="Compact"/>
        <w:numPr>
          <w:ilvl w:val="0"/>
          <w:numId w:val="1010"/>
        </w:numPr>
      </w:pPr>
      <w:r>
        <w:t xml:space="preserve">Extra logistics costs related to a delayed distribution-center opening.</w:t>
      </w:r>
    </w:p>
    <w:p>
      <w:pPr>
        <w:pStyle w:val="Compact"/>
        <w:numPr>
          <w:ilvl w:val="0"/>
          <w:numId w:val="1010"/>
        </w:numPr>
      </w:pPr>
      <w:r>
        <w:t xml:space="preserve">A voluntary temporary product withdrawal.</w:t>
      </w:r>
    </w:p>
    <w:p>
      <w:pPr>
        <w:pStyle w:val="Compact"/>
        <w:numPr>
          <w:ilvl w:val="0"/>
          <w:numId w:val="1010"/>
        </w:numPr>
      </w:pPr>
      <w:r>
        <w:t xml:space="preserve">Higher consumer marketing.</w:t>
      </w:r>
    </w:p>
    <w:p>
      <w:pPr>
        <w:pStyle w:val="Compact"/>
        <w:numPr>
          <w:ilvl w:val="0"/>
          <w:numId w:val="1010"/>
        </w:numPr>
      </w:pPr>
      <w:r>
        <w:t xml:space="preserve">LesserEvil acquisition mix and amortization.</w:t>
      </w:r>
    </w:p>
    <w:p>
      <w:pPr>
        <w:pStyle w:val="FirstParagraph"/>
      </w:pPr>
      <w:r>
        <w:t xml:space="preserve">Management said the operational issues were behind it and reiterated expectations for</w:t>
      </w:r>
      <w:r>
        <w:t xml:space="preserve"> </w:t>
      </w:r>
      <w:r>
        <w:rPr>
          <w:b/>
          <w:bCs/>
        </w:rPr>
        <w:t xml:space="preserve">double-digit full-year segment-income growth</w:t>
      </w:r>
      <w:r>
        <w:t xml:space="preserve">.</w:t>
      </w:r>
    </w:p>
    <w:bookmarkStart w:id="20" w:name="q2-priorities"/>
    <w:p>
      <w:pPr>
        <w:pStyle w:val="Heading3"/>
      </w:pPr>
      <w:r>
        <w:t xml:space="preserve">Q2 priorities</w:t>
      </w:r>
    </w:p>
    <w:p>
      <w:pPr>
        <w:pStyle w:val="Compact"/>
        <w:numPr>
          <w:ilvl w:val="0"/>
          <w:numId w:val="1011"/>
        </w:numPr>
      </w:pPr>
      <w:r>
        <w:t xml:space="preserve">Recovery from Q1’s unusually low segment margin.</w:t>
      </w:r>
    </w:p>
    <w:p>
      <w:pPr>
        <w:pStyle w:val="Compact"/>
        <w:numPr>
          <w:ilvl w:val="0"/>
          <w:numId w:val="1011"/>
        </w:numPr>
      </w:pPr>
      <w:r>
        <w:t xml:space="preserve">Continued strength at Dot’s, SkinnyPop and LesserEvil.</w:t>
      </w:r>
    </w:p>
    <w:p>
      <w:pPr>
        <w:pStyle w:val="Compact"/>
        <w:numPr>
          <w:ilvl w:val="0"/>
          <w:numId w:val="1011"/>
        </w:numPr>
      </w:pPr>
      <w:r>
        <w:t xml:space="preserve">Evidence that LesserEvil integration is on plan.</w:t>
      </w:r>
    </w:p>
    <w:p>
      <w:pPr>
        <w:pStyle w:val="Compact"/>
        <w:numPr>
          <w:ilvl w:val="0"/>
          <w:numId w:val="1011"/>
        </w:numPr>
      </w:pPr>
      <w:r>
        <w:t xml:space="preserve">The magnitude of private-label sales reductions.</w:t>
      </w:r>
    </w:p>
    <w:p>
      <w:pPr>
        <w:pStyle w:val="Compact"/>
        <w:numPr>
          <w:ilvl w:val="0"/>
          <w:numId w:val="1011"/>
        </w:numPr>
      </w:pPr>
      <w:r>
        <w:t xml:space="preserve">Progress toward management’s longer-term goal of a margin above 20%.</w:t>
      </w:r>
    </w:p>
    <w:p>
      <w:pPr>
        <w:pStyle w:val="FirstParagraph"/>
      </w:pPr>
      <w:r>
        <w:t xml:space="preserve">Q2 2025 provides a demanding profitability comparison: Salty Snacks generated a 21.1% segment margin. Investors should not expect Q1’s 9.8% margin to persist, but acquisition mix may prevent an immediate return to the prior-year level.</w:t>
      </w:r>
    </w:p>
    <w:p>
      <w:r>
        <w:pict>
          <v:rect style="width:0;height:1.5pt" o:hralign="center" o:hrstd="t" o:hr="t"/>
        </w:pict>
      </w:r>
    </w:p>
    <w:bookmarkEnd w:id="20"/>
    <w:bookmarkEnd w:id="21"/>
    <w:bookmarkStart w:id="22" w:name="X935021d59a4c0e672f4f4b84470a9c0afb1c079"/>
    <w:p>
      <w:pPr>
        <w:pStyle w:val="Heading2"/>
      </w:pPr>
      <w:r>
        <w:t xml:space="preserve">6. International remains a weak point</w:t>
      </w:r>
    </w:p>
    <w:p>
      <w:pPr>
        <w:pStyle w:val="FirstParagraph"/>
      </w:pPr>
      <w:r>
        <w:t xml:space="preserve">International Q1 organic sales rose 9.3%, but segment income fell nearly 47%, and margin contracted 680 basis points to 5.8%. Pricing and sales growth were outweighed by higher commodity and manufacturing costs plus increased advertising.</w:t>
      </w:r>
    </w:p>
    <w:p>
      <w:pPr>
        <w:pStyle w:val="BodyText"/>
      </w:pPr>
      <w:r>
        <w:t xml:space="preserve">The division has also been more sensitive to pricing elasticity because of Hershey’s premium positioning and lower scale in some markets.</w:t>
      </w:r>
    </w:p>
    <w:p>
      <w:pPr>
        <w:pStyle w:val="BodyText"/>
      </w:pPr>
      <w:r>
        <w:t xml:space="preserve">Watch for:</w:t>
      </w:r>
    </w:p>
    <w:p>
      <w:pPr>
        <w:pStyle w:val="Compact"/>
        <w:numPr>
          <w:ilvl w:val="0"/>
          <w:numId w:val="1012"/>
        </w:numPr>
      </w:pPr>
      <w:r>
        <w:t xml:space="preserve">Profit recovery as pricing catches up with cocoa costs.</w:t>
      </w:r>
    </w:p>
    <w:p>
      <w:pPr>
        <w:pStyle w:val="Compact"/>
        <w:numPr>
          <w:ilvl w:val="0"/>
          <w:numId w:val="1012"/>
        </w:numPr>
      </w:pPr>
      <w:r>
        <w:t xml:space="preserve">Continued strength in Brazil.</w:t>
      </w:r>
    </w:p>
    <w:p>
      <w:pPr>
        <w:pStyle w:val="Compact"/>
        <w:numPr>
          <w:ilvl w:val="0"/>
          <w:numId w:val="1012"/>
        </w:numPr>
      </w:pPr>
      <w:r>
        <w:t xml:space="preserve">Reese’s expansion in the U.K., Europe and Mexico.</w:t>
      </w:r>
    </w:p>
    <w:p>
      <w:pPr>
        <w:pStyle w:val="Compact"/>
        <w:numPr>
          <w:ilvl w:val="0"/>
          <w:numId w:val="1012"/>
        </w:numPr>
      </w:pPr>
      <w:r>
        <w:t xml:space="preserve">Whether Q1’s shipment pull-forward produces a meaningful Q2 reversal.</w:t>
      </w:r>
    </w:p>
    <w:p>
      <w:pPr>
        <w:pStyle w:val="Compact"/>
        <w:numPr>
          <w:ilvl w:val="0"/>
          <w:numId w:val="1012"/>
        </w:numPr>
      </w:pPr>
      <w:r>
        <w:t xml:space="preserve">Progress toward restoring International to a consistently profitable business.</w:t>
      </w:r>
    </w:p>
    <w:p>
      <w:pPr>
        <w:pStyle w:val="FirstParagraph"/>
      </w:pPr>
      <w:r>
        <w:t xml:space="preserve">A second consecutive quarter of severe margin pressure would raise questions about whether International can contribute to the broader earnings-recovery thesis.</w:t>
      </w:r>
    </w:p>
    <w:p>
      <w:r>
        <w:pict>
          <v:rect style="width:0;height:1.5pt" o:hralign="center" o:hrstd="t" o:hr="t"/>
        </w:pict>
      </w:r>
    </w:p>
    <w:bookmarkEnd w:id="22"/>
    <w:bookmarkStart w:id="23" w:name="Xae6e6b2780d7b5301d130fb5ce87311ceebf424"/>
    <w:p>
      <w:pPr>
        <w:pStyle w:val="Heading2"/>
      </w:pPr>
      <w:r>
        <w:t xml:space="preserve">7. Cocoa: Q2 costs and 2027 upside are different questions</w:t>
      </w:r>
    </w:p>
    <w:p>
      <w:pPr>
        <w:pStyle w:val="FirstParagraph"/>
      </w:pPr>
      <w:r>
        <w:t xml:space="preserve">Spot cocoa prices have eased, but investors should not expect lower market prices to immediately transform Q2 costs. Hershey manages commodities through a multiyear hedging program, and management has said it is well covered for 2026.</w:t>
      </w:r>
    </w:p>
    <w:p>
      <w:pPr>
        <w:pStyle w:val="BodyText"/>
      </w:pPr>
      <w:r>
        <w:t xml:space="preserve">The more important issue is whether lower cocoa prices create incremental upside in</w:t>
      </w:r>
      <w:r>
        <w:t xml:space="preserve"> </w:t>
      </w:r>
      <w:r>
        <w:rPr>
          <w:b/>
          <w:bCs/>
        </w:rPr>
        <w:t xml:space="preserve">2027 and beyond</w:t>
      </w:r>
      <w:r>
        <w:t xml:space="preserve">. At Investor Day, Hershey described 2027 as another year of outsized earnings recovery, with:</w:t>
      </w:r>
    </w:p>
    <w:p>
      <w:pPr>
        <w:pStyle w:val="Compact"/>
        <w:numPr>
          <w:ilvl w:val="0"/>
          <w:numId w:val="1013"/>
        </w:numPr>
      </w:pPr>
      <w:r>
        <w:t xml:space="preserve">Organic sales growth of 2%-4%.</w:t>
      </w:r>
    </w:p>
    <w:p>
      <w:pPr>
        <w:pStyle w:val="Compact"/>
        <w:numPr>
          <w:ilvl w:val="0"/>
          <w:numId w:val="1013"/>
        </w:numPr>
      </w:pPr>
      <w:r>
        <w:t xml:space="preserve">Double-digit EPS growth.</w:t>
      </w:r>
    </w:p>
    <w:p>
      <w:pPr>
        <w:pStyle w:val="Compact"/>
        <w:numPr>
          <w:ilvl w:val="0"/>
          <w:numId w:val="1013"/>
        </w:numPr>
      </w:pPr>
      <w:r>
        <w:t xml:space="preserve">North America Confectionery margins returning to their historical range.</w:t>
      </w:r>
    </w:p>
    <w:p>
      <w:pPr>
        <w:pStyle w:val="Compact"/>
        <w:numPr>
          <w:ilvl w:val="0"/>
          <w:numId w:val="1013"/>
        </w:numPr>
      </w:pPr>
      <w:r>
        <w:t xml:space="preserve">Continuing productivity and carryover pricing.</w:t>
      </w:r>
    </w:p>
    <w:p>
      <w:pPr>
        <w:pStyle w:val="FirstParagraph"/>
      </w:pPr>
      <w:r>
        <w:t xml:space="preserve">Management has also said its hedging structures provide some ability to participate in cocoa-price declines, particularly beginning in 2027.</w:t>
      </w:r>
    </w:p>
    <w:p>
      <w:pPr>
        <w:pStyle w:val="BodyText"/>
      </w:pPr>
      <w:r>
        <w:t xml:space="preserve">Investors should ask:</w:t>
      </w:r>
    </w:p>
    <w:p>
      <w:pPr>
        <w:pStyle w:val="Compact"/>
        <w:numPr>
          <w:ilvl w:val="0"/>
          <w:numId w:val="1014"/>
        </w:numPr>
      </w:pPr>
      <w:r>
        <w:t xml:space="preserve">Has the company increased its visibility into 2027 cocoa costs?</w:t>
      </w:r>
    </w:p>
    <w:p>
      <w:pPr>
        <w:pStyle w:val="Compact"/>
        <w:numPr>
          <w:ilvl w:val="0"/>
          <w:numId w:val="1014"/>
        </w:numPr>
      </w:pPr>
      <w:r>
        <w:t xml:space="preserve">Is recent cocoa weakness sufficient to improve the preliminary 2027 outlook?</w:t>
      </w:r>
    </w:p>
    <w:p>
      <w:pPr>
        <w:pStyle w:val="Compact"/>
        <w:numPr>
          <w:ilvl w:val="0"/>
          <w:numId w:val="1014"/>
        </w:numPr>
      </w:pPr>
      <w:r>
        <w:t xml:space="preserve">How much of potential cocoa relief will be retained versus reinvested or offset by other inflation?</w:t>
      </w:r>
    </w:p>
    <w:p>
      <w:pPr>
        <w:pStyle w:val="Compact"/>
        <w:numPr>
          <w:ilvl w:val="0"/>
          <w:numId w:val="1014"/>
        </w:numPr>
      </w:pPr>
      <w:r>
        <w:t xml:space="preserve">Has the competitive environment changed as lower spot cocoa reduces pressure on industry economics?</w:t>
      </w:r>
    </w:p>
    <w:p>
      <w:r>
        <w:pict>
          <v:rect style="width:0;height:1.5pt" o:hralign="center" o:hrstd="t" o:hr="t"/>
        </w:pict>
      </w:r>
    </w:p>
    <w:bookmarkEnd w:id="23"/>
    <w:bookmarkStart w:id="24" w:name="stock-setup"/>
    <w:p>
      <w:pPr>
        <w:pStyle w:val="Heading2"/>
      </w:pPr>
      <w:r>
        <w:t xml:space="preserve">Stock setup</w:t>
      </w:r>
    </w:p>
    <w:p>
      <w:pPr>
        <w:pStyle w:val="FirstParagraph"/>
      </w:pPr>
      <w:r>
        <w:t xml:space="preserve">HSY closed July 29 at</w:t>
      </w:r>
      <w:r>
        <w:t xml:space="preserve"> </w:t>
      </w:r>
      <w:r>
        <w:rPr>
          <w:b/>
          <w:bCs/>
        </w:rPr>
        <w:t xml:space="preserve">$184.41</w:t>
      </w:r>
      <w:r>
        <w:t xml:space="preserve">, approximately:</w:t>
      </w:r>
    </w:p>
    <w:p>
      <w:pPr>
        <w:pStyle w:val="Compact"/>
        <w:numPr>
          <w:ilvl w:val="0"/>
          <w:numId w:val="1015"/>
        </w:numPr>
      </w:pPr>
      <w:r>
        <w:rPr>
          <w:b/>
          <w:bCs/>
        </w:rPr>
        <w:t xml:space="preserve">Up 1%</w:t>
      </w:r>
      <w:r>
        <w:t xml:space="preserve"> </w:t>
      </w:r>
      <w:r>
        <w:t xml:space="preserve">from the first trading day of 2026.</w:t>
      </w:r>
    </w:p>
    <w:p>
      <w:pPr>
        <w:pStyle w:val="Compact"/>
        <w:numPr>
          <w:ilvl w:val="0"/>
          <w:numId w:val="1015"/>
        </w:numPr>
      </w:pPr>
      <w:r>
        <w:rPr>
          <w:b/>
          <w:bCs/>
        </w:rPr>
        <w:t xml:space="preserve">Down 22%</w:t>
      </w:r>
      <w:r>
        <w:t xml:space="preserve"> </w:t>
      </w:r>
      <w:r>
        <w:t xml:space="preserve">from its February 27 close of $236.28.</w:t>
      </w:r>
    </w:p>
    <w:p>
      <w:pPr>
        <w:pStyle w:val="Compact"/>
        <w:numPr>
          <w:ilvl w:val="0"/>
          <w:numId w:val="1015"/>
        </w:numPr>
      </w:pPr>
      <w:r>
        <w:rPr>
          <w:b/>
          <w:bCs/>
        </w:rPr>
        <w:t xml:space="preserve">Up 8%</w:t>
      </w:r>
      <w:r>
        <w:t xml:space="preserve"> </w:t>
      </w:r>
      <w:r>
        <w:t xml:space="preserve">since July 15.</w:t>
      </w:r>
    </w:p>
    <w:p>
      <w:pPr>
        <w:pStyle w:val="FirstParagraph"/>
      </w:pPr>
      <w:r>
        <w:t xml:space="preserve">The recent rebound suggests that some optimism around cocoa relief and earnings recovery may already be reflected in the shares. Nevertheless, the stock remains well below its February level, leaving room for a positive reaction if Hershey validates the expected margin inflection and offers constructive 2027 commentary.</w:t>
      </w:r>
    </w:p>
    <w:p>
      <w:pPr>
        <w:pStyle w:val="BodyText"/>
      </w:pPr>
      <w:r>
        <w:t xml:space="preserve">The risk is that investors increasingly view lower cocoa as a future tailwind while Q2 reveals weaker current demand. In that scenario, near-term volume and market-share concerns could outweigh longer-term commodity optimism.</w:t>
      </w:r>
    </w:p>
    <w:p>
      <w:r>
        <w:pict>
          <v:rect style="width:0;height:1.5pt" o:hralign="center" o:hrstd="t" o:hr="t"/>
        </w:pict>
      </w:r>
    </w:p>
    <w:bookmarkEnd w:id="24"/>
    <w:bookmarkStart w:id="28" w:name="earnings-reaction-framework"/>
    <w:p>
      <w:pPr>
        <w:pStyle w:val="Heading2"/>
      </w:pPr>
      <w:r>
        <w:t xml:space="preserve">Earnings reaction framework</w:t>
      </w:r>
    </w:p>
    <w:bookmarkStart w:id="25" w:name="bull-case"/>
    <w:p>
      <w:pPr>
        <w:pStyle w:val="Heading3"/>
      </w:pPr>
      <w:r>
        <w:t xml:space="preserve">Bull case</w:t>
      </w:r>
    </w:p>
    <w:p>
      <w:pPr>
        <w:pStyle w:val="Compact"/>
        <w:numPr>
          <w:ilvl w:val="0"/>
          <w:numId w:val="1016"/>
        </w:numPr>
      </w:pPr>
      <w:r>
        <w:t xml:space="preserve">Organic sales are better than the timing-adjusted expectation.</w:t>
      </w:r>
    </w:p>
    <w:p>
      <w:pPr>
        <w:pStyle w:val="Compact"/>
        <w:numPr>
          <w:ilvl w:val="0"/>
          <w:numId w:val="1016"/>
        </w:numPr>
      </w:pPr>
      <w:r>
        <w:t xml:space="preserve">Confection consumption remains solid and share stabilizes.</w:t>
      </w:r>
    </w:p>
    <w:p>
      <w:pPr>
        <w:pStyle w:val="Compact"/>
        <w:numPr>
          <w:ilvl w:val="0"/>
          <w:numId w:val="1016"/>
        </w:numPr>
      </w:pPr>
      <w:r>
        <w:t xml:space="preserve">Adjusted gross margin is approximately 41% or better.</w:t>
      </w:r>
    </w:p>
    <w:p>
      <w:pPr>
        <w:pStyle w:val="Compact"/>
        <w:numPr>
          <w:ilvl w:val="0"/>
          <w:numId w:val="1016"/>
        </w:numPr>
      </w:pPr>
      <w:r>
        <w:t xml:space="preserve">Salty Snacks margin rebounds sharply.</w:t>
      </w:r>
    </w:p>
    <w:p>
      <w:pPr>
        <w:pStyle w:val="Compact"/>
        <w:numPr>
          <w:ilvl w:val="0"/>
          <w:numId w:val="1016"/>
        </w:numPr>
      </w:pPr>
      <w:r>
        <w:t xml:space="preserve">Full-year adjusted EPS guidance is raised or narrowed toward the high end.</w:t>
      </w:r>
    </w:p>
    <w:p>
      <w:pPr>
        <w:pStyle w:val="Compact"/>
        <w:numPr>
          <w:ilvl w:val="0"/>
          <w:numId w:val="1016"/>
        </w:numPr>
      </w:pPr>
      <w:r>
        <w:t xml:space="preserve">Management becomes more constructive on 2027 cocoa costs.</w:t>
      </w:r>
    </w:p>
    <w:bookmarkEnd w:id="25"/>
    <w:bookmarkStart w:id="26" w:name="base-case"/>
    <w:p>
      <w:pPr>
        <w:pStyle w:val="Heading3"/>
      </w:pPr>
      <w:r>
        <w:t xml:space="preserve">Base case</w:t>
      </w:r>
    </w:p>
    <w:p>
      <w:pPr>
        <w:pStyle w:val="Compact"/>
        <w:numPr>
          <w:ilvl w:val="0"/>
          <w:numId w:val="1017"/>
        </w:numPr>
      </w:pPr>
      <w:r>
        <w:t xml:space="preserve">Confection organic sales decline slightly as guided.</w:t>
      </w:r>
    </w:p>
    <w:p>
      <w:pPr>
        <w:pStyle w:val="Compact"/>
        <w:numPr>
          <w:ilvl w:val="0"/>
          <w:numId w:val="1017"/>
        </w:numPr>
      </w:pPr>
      <w:r>
        <w:t xml:space="preserve">Total-company reported sales are supported by LesserEvil.</w:t>
      </w:r>
    </w:p>
    <w:p>
      <w:pPr>
        <w:pStyle w:val="Compact"/>
        <w:numPr>
          <w:ilvl w:val="0"/>
          <w:numId w:val="1017"/>
        </w:numPr>
      </w:pPr>
      <w:r>
        <w:t xml:space="preserve">Adjusted gross margin expands close to 300 basis points.</w:t>
      </w:r>
    </w:p>
    <w:p>
      <w:pPr>
        <w:pStyle w:val="Compact"/>
        <w:numPr>
          <w:ilvl w:val="0"/>
          <w:numId w:val="1017"/>
        </w:numPr>
      </w:pPr>
      <w:r>
        <w:t xml:space="preserve">Advertising limits operating-margin flow-through.</w:t>
      </w:r>
    </w:p>
    <w:p>
      <w:pPr>
        <w:pStyle w:val="Compact"/>
        <w:numPr>
          <w:ilvl w:val="0"/>
          <w:numId w:val="1017"/>
        </w:numPr>
      </w:pPr>
      <w:r>
        <w:t xml:space="preserve">Full-year guidance is reaffirmed with confidence in the upper half.</w:t>
      </w:r>
    </w:p>
    <w:p>
      <w:pPr>
        <w:pStyle w:val="Compact"/>
        <w:numPr>
          <w:ilvl w:val="0"/>
          <w:numId w:val="1017"/>
        </w:numPr>
      </w:pPr>
      <w:r>
        <w:t xml:space="preserve">Management maintains—but does not improve—the preliminary 2027 framework.</w:t>
      </w:r>
    </w:p>
    <w:bookmarkEnd w:id="26"/>
    <w:bookmarkStart w:id="27" w:name="bear-case"/>
    <w:p>
      <w:pPr>
        <w:pStyle w:val="Heading3"/>
      </w:pPr>
      <w:r>
        <w:t xml:space="preserve">Bear case</w:t>
      </w:r>
    </w:p>
    <w:p>
      <w:pPr>
        <w:pStyle w:val="Compact"/>
        <w:numPr>
          <w:ilvl w:val="0"/>
          <w:numId w:val="1018"/>
        </w:numPr>
      </w:pPr>
      <w:r>
        <w:t xml:space="preserve">Consumption and volume are weaker beyond the known shipment-timing effects.</w:t>
      </w:r>
    </w:p>
    <w:p>
      <w:pPr>
        <w:pStyle w:val="Compact"/>
        <w:numPr>
          <w:ilvl w:val="0"/>
          <w:numId w:val="1018"/>
        </w:numPr>
      </w:pPr>
      <w:r>
        <w:t xml:space="preserve">Hershey continues to lose confection share.</w:t>
      </w:r>
    </w:p>
    <w:p>
      <w:pPr>
        <w:pStyle w:val="Compact"/>
        <w:numPr>
          <w:ilvl w:val="0"/>
          <w:numId w:val="1018"/>
        </w:numPr>
      </w:pPr>
      <w:r>
        <w:t xml:space="preserve">Adjusted gross-margin expansion falls materially short of 300 basis points.</w:t>
      </w:r>
    </w:p>
    <w:p>
      <w:pPr>
        <w:pStyle w:val="Compact"/>
        <w:numPr>
          <w:ilvl w:val="0"/>
          <w:numId w:val="1018"/>
        </w:numPr>
      </w:pPr>
      <w:r>
        <w:t xml:space="preserve">Salty Snacks costs remain elevated.</w:t>
      </w:r>
    </w:p>
    <w:p>
      <w:pPr>
        <w:pStyle w:val="Compact"/>
        <w:numPr>
          <w:ilvl w:val="0"/>
          <w:numId w:val="1018"/>
        </w:numPr>
      </w:pPr>
      <w:r>
        <w:t xml:space="preserve">Management lowers organic-sales guidance or signals that EPS is trending toward the low end.</w:t>
      </w:r>
    </w:p>
    <w:p>
      <w:pPr>
        <w:pStyle w:val="Compact"/>
        <w:numPr>
          <w:ilvl w:val="0"/>
          <w:numId w:val="1018"/>
        </w:numPr>
      </w:pPr>
      <w:r>
        <w:t xml:space="preserve">Lower cocoa is described as too distant or too hedged to improve 2027 economics.</w:t>
      </w:r>
    </w:p>
    <w:p>
      <w:r>
        <w:pict>
          <v:rect style="width:0;height:1.5pt" o:hralign="center" o:hrstd="t" o:hr="t"/>
        </w:pict>
      </w:r>
    </w:p>
    <w:bookmarkEnd w:id="27"/>
    <w:bookmarkEnd w:id="28"/>
    <w:bookmarkStart w:id="29" w:name="questions-investors-should-want-answered"/>
    <w:p>
      <w:pPr>
        <w:pStyle w:val="Heading2"/>
      </w:pPr>
      <w:r>
        <w:t xml:space="preserve">Questions investors should want answered</w:t>
      </w:r>
    </w:p>
    <w:p>
      <w:pPr>
        <w:pStyle w:val="Compact"/>
        <w:numPr>
          <w:ilvl w:val="0"/>
          <w:numId w:val="1019"/>
        </w:numPr>
      </w:pPr>
      <w:r>
        <w:t xml:space="preserve">How did North America Confectionery consumption perform in May and June after the April timing disruption?</w:t>
      </w:r>
    </w:p>
    <w:p>
      <w:pPr>
        <w:pStyle w:val="Compact"/>
        <w:numPr>
          <w:ilvl w:val="0"/>
          <w:numId w:val="1019"/>
        </w:numPr>
      </w:pPr>
      <w:r>
        <w:t xml:space="preserve">Did spring shelf resets result in measurable distribution, facing and market-share gains?</w:t>
      </w:r>
    </w:p>
    <w:p>
      <w:pPr>
        <w:pStyle w:val="Compact"/>
        <w:numPr>
          <w:ilvl w:val="0"/>
          <w:numId w:val="1019"/>
        </w:numPr>
      </w:pPr>
      <w:r>
        <w:t xml:space="preserve">Are price elasticities still better than the approximately 0.8 level embedded in planning?</w:t>
      </w:r>
    </w:p>
    <w:p>
      <w:pPr>
        <w:pStyle w:val="Compact"/>
        <w:numPr>
          <w:ilvl w:val="0"/>
          <w:numId w:val="1019"/>
        </w:numPr>
      </w:pPr>
      <w:r>
        <w:t xml:space="preserve">Did adjusted gross margin expand by nearly 300 basis points, and is more than 500 basis points still expected in the second half?</w:t>
      </w:r>
    </w:p>
    <w:p>
      <w:pPr>
        <w:pStyle w:val="Compact"/>
        <w:numPr>
          <w:ilvl w:val="0"/>
          <w:numId w:val="1019"/>
        </w:numPr>
      </w:pPr>
      <w:r>
        <w:t xml:space="preserve">What portion of gross-margin recovery will be reinvested in advertising and innovation?</w:t>
      </w:r>
    </w:p>
    <w:p>
      <w:pPr>
        <w:pStyle w:val="Compact"/>
        <w:numPr>
          <w:ilvl w:val="0"/>
          <w:numId w:val="1019"/>
        </w:numPr>
      </w:pPr>
      <w:r>
        <w:t xml:space="preserve">Has the consumer response changed in states implementing SNAP restrictions?</w:t>
      </w:r>
    </w:p>
    <w:p>
      <w:pPr>
        <w:pStyle w:val="Compact"/>
        <w:numPr>
          <w:ilvl w:val="0"/>
          <w:numId w:val="1019"/>
        </w:numPr>
      </w:pPr>
      <w:r>
        <w:t xml:space="preserve">Are higher fuel, freight and packaging costs now affecting the 2026 or 2027 outlook?</w:t>
      </w:r>
    </w:p>
    <w:p>
      <w:pPr>
        <w:pStyle w:val="Compact"/>
        <w:numPr>
          <w:ilvl w:val="0"/>
          <w:numId w:val="1019"/>
        </w:numPr>
      </w:pPr>
      <w:r>
        <w:t xml:space="preserve">How quickly should Salty Snacks margins normalize after Q1’s operational issues?</w:t>
      </w:r>
    </w:p>
    <w:p>
      <w:pPr>
        <w:pStyle w:val="Compact"/>
        <w:numPr>
          <w:ilvl w:val="0"/>
          <w:numId w:val="1019"/>
        </w:numPr>
      </w:pPr>
      <w:r>
        <w:t xml:space="preserve">Has lower cocoa improved visibility into 2027 earnings?</w:t>
      </w:r>
    </w:p>
    <w:p>
      <w:pPr>
        <w:pStyle w:val="Compact"/>
        <w:numPr>
          <w:ilvl w:val="0"/>
          <w:numId w:val="1019"/>
        </w:numPr>
      </w:pPr>
      <w:r>
        <w:t xml:space="preserve">What would prevent Hershey from raising the 2026 adjusted EPS range after the first-half results?</w:t>
      </w:r>
    </w:p>
    <w:p>
      <w:r>
        <w:pict>
          <v:rect style="width:0;height:1.5pt" o:hralign="center" o:hrstd="t" o:hr="t"/>
        </w:pict>
      </w:r>
    </w:p>
    <w:bookmarkEnd w:id="29"/>
    <w:bookmarkStart w:id="30" w:name="bottom-line"/>
    <w:p>
      <w:pPr>
        <w:pStyle w:val="Heading2"/>
      </w:pPr>
      <w:r>
        <w:t xml:space="preserve">Bottom line</w:t>
      </w:r>
    </w:p>
    <w:p>
      <w:pPr>
        <w:pStyle w:val="FirstParagraph"/>
      </w:pPr>
      <w:r>
        <w:t xml:space="preserve">The cleanest test tomorrow is</w:t>
      </w:r>
      <w:r>
        <w:t xml:space="preserve"> </w:t>
      </w:r>
      <w:r>
        <w:rPr>
          <w:b/>
          <w:bCs/>
        </w:rPr>
        <w:t xml:space="preserve">not whether reported sales beat an unusually distorted prior-year comparison</w:t>
      </w:r>
      <w:r>
        <w:t xml:space="preserve">. It is whether Hershey delivers the promised gross-margin inflection while demonstrating that its pricing has not caused a material deterioration in consumption or brand health.</w:t>
      </w:r>
    </w:p>
    <w:p>
      <w:pPr>
        <w:pStyle w:val="BodyText"/>
      </w:pPr>
      <w:r>
        <w:t xml:space="preserve">A slightly negative confection organic-sales result can be consistent with the investment thesis. A material shortfall in adjusted gross margin cannot.</w:t>
      </w:r>
    </w:p>
    <w:p>
      <w:pPr>
        <w:pStyle w:val="BodyText"/>
      </w:pPr>
      <w:r>
        <w:t xml:space="preserve">The most important combination for the shares would be:</w:t>
      </w:r>
    </w:p>
    <w:p>
      <w:pPr>
        <w:pStyle w:val="BlockText"/>
      </w:pPr>
      <w:r>
        <w:rPr>
          <w:b/>
          <w:bCs/>
        </w:rPr>
        <w:t xml:space="preserve">Stable underlying demand + approximately 41% adjusted gross margin + confidence at the upper end of 2026 guidance + improving visibility into 2027.</w:t>
      </w:r>
    </w:p>
    <w:p>
      <w:pPr>
        <w:pStyle w:val="FirstParagraph"/>
      </w:pPr>
      <w:r>
        <w:t xml:space="preserve">If Hershey delivers those elements, the report should reinforce the view that 2026 is the first stage of a multiyear earnings recovery. If margin recovery disappoints or volume weakness spreads beyond timing effects, investors are likely to question how much of the anticipated 2027 rebound is already embedded in expectations.</w:t>
      </w:r>
    </w:p>
    <w:p>
      <w:pPr>
        <w:pStyle w:val="BodyText"/>
      </w:pPr>
      <w:r>
        <w:rPr>
          <w:i/>
          <w:iCs/>
        </w:rPr>
        <w:t xml:space="preserve">Sources: Hershey earnings releases, SEC filings, Q1 2026 earnings-call transcript, March 2026 Investor Day transcript, company conference-call announcement, and stock-price data through July 29, 2026.</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2026-07-29T18:14:55Z</dcterms:created>
  <dcterms:modified xsi:type="dcterms:W3CDTF">2026-07-29T18:14:55Z</dcterms:modified>
</cp:coreProperties>
</file>

<file path=docProps/custom.xml><?xml version="1.0" encoding="utf-8"?>
<Properties xmlns="http://schemas.openxmlformats.org/officeDocument/2006/custom-properties" xmlns:vt="http://schemas.openxmlformats.org/officeDocument/2006/docPropsVTypes"/>
</file>