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y-earnings-predictions--2026-07-30"/>
    <w:p>
      <w:pPr>
        <w:pStyle w:val="Heading1"/>
      </w:pPr>
      <w:r>
        <w:t xml:space="preserve">HSY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~$2.09B vs. cons $2.12B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~43.8% vs. cons 43.1%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constant-currency net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midpoint vs. cons 3.1%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~$8.36 midpoint vs. cons $8.37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adjusted gross-margin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~525 bps vs. cons 520 bps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-3.4% (FOLLOW-THROUGH)</w:t>
            </w:r>
          </w:p>
        </w:tc>
        <w:tc>
          <w:tcPr/>
          <w:p>
            <w:pPr>
              <w:pStyle w:val="Compact"/>
            </w:pPr>
            <w:r>
              <w:t xml:space="preserve">A ~$1.53 vs.</w:t>
            </w:r>
            <w:r>
              <w:t xml:space="preserve"> </w:t>
            </w:r>
            <m:oMath>
              <m:r>
                <m:t>1.47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v</m:t>
              </m:r>
              <m:r>
                <m:t>i</m:t>
              </m:r>
              <m:r>
                <m:t>e</m:t>
              </m:r>
              <m:r>
                <m:t>w</m:t>
              </m:r>
              <m:r>
                <m:t>e</m:t>
              </m:r>
              <m:r>
                <m:t>d</m:t>
              </m:r>
              <m:r>
                <m:t>a</m:t>
              </m:r>
              <m:r>
                <m:t>s</m:t>
              </m:r>
              <m:r>
                <m:t>m</m:t>
              </m:r>
              <m:r>
                <m:t>i</m:t>
              </m:r>
              <m:r>
                <m:t>x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a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t</m:t>
              </m:r>
              <m:r>
                <m:t>a</m:t>
              </m:r>
              <m:r>
                <m:t> </m:t>
              </m:r>
            </m:oMath>
            <w:r>
              <w:t xml:space="preserve">2.09B vs.</w:t>
            </w:r>
            <w:r>
              <w:t xml:space="preserve"> </w:t>
            </w:r>
            <m:oMath>
              <m:r>
                <m:t>2.12</m:t>
              </m:r>
              <m:r>
                <m:t>B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 </m:t>
              </m:r>
            </m:oMath>
            <w:r>
              <w:t xml:space="preserve">8.36 versus $8.37 FY26 EPS and ~3.0% versus 3.1% organic-sales expectations leaves a larger second-half sales and activation burden; out-period revenue/EPS estimates should drift lower despite gross-margin delivery.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2026-07-29T18:12:35Z</dcterms:created>
  <dcterms:modified xsi:type="dcterms:W3CDTF">2026-07-29T18:12:35Z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