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4" w:name="hershey-nyse-hsy--2q26-earnings-preview"/>
    <w:p>
      <w:pPr>
        <w:pStyle w:val="Heading1"/>
      </w:pPr>
      <w:r>
        <w:t xml:space="preserve">Hershey (NYSE: HSY) — 2Q26 Earnings Preview</w:t>
      </w:r>
    </w:p>
    <w:p>
      <w:pPr>
        <w:pStyle w:val="FirstParagraph"/>
      </w:pPr>
      <w:r>
        <w:rPr>
          <w:b/>
          <w:bCs/>
        </w:rPr>
        <w:t xml:space="preserve">Earnings date:</w:t>
      </w:r>
      <w:r>
        <w:t xml:space="preserve"> </w:t>
      </w:r>
      <w:r>
        <w:t xml:space="preserve">Thursday, July 30, 2026</w:t>
      </w:r>
      <w:r>
        <w:br/>
      </w:r>
      <w:r>
        <w:rPr>
          <w:b/>
          <w:bCs/>
        </w:rPr>
        <w:t xml:space="preserve">Focus:</w:t>
      </w:r>
      <w:r>
        <w:t xml:space="preserve"> </w:t>
      </w:r>
      <w:r>
        <w:t xml:space="preserve">Whether 2Q’s expected timing-driven sales softness gives way to the margin recovery and second-half growth management outlined at Investor Day.</w:t>
      </w:r>
    </w:p>
    <w:bookmarkStart w:id="9" w:name="preview-in-brief"/>
    <w:p>
      <w:pPr>
        <w:pStyle w:val="Heading2"/>
      </w:pPr>
      <w:r>
        <w:t xml:space="preserve">Preview in brief</w:t>
      </w:r>
    </w:p>
    <w:p>
      <w:pPr>
        <w:pStyle w:val="FirstParagraph"/>
      </w:pPr>
      <w:r>
        <w:t xml:space="preserve">Hershey enters 2Q with a largely understood setup: management explicitly warned in April that</w:t>
      </w:r>
      <w:r>
        <w:t xml:space="preserve"> </w:t>
      </w:r>
      <w:r>
        <w:rPr>
          <w:b/>
          <w:bCs/>
        </w:rPr>
        <w:t xml:space="preserve">North America Confectionery organic sales would be slightly down in 2Q</w:t>
      </w:r>
      <w:r>
        <w:t xml:space="preserve">, principally because strong Easter sell-through pulled some spring/S’mores shipments into 1Q, with an additional smaller international pull-forward. Therefore, the headline sales result matters less than the underlying consumption, retail execution, gross-margin progression, and any change to the full-year outlook.</w:t>
      </w:r>
    </w:p>
    <w:p>
      <w:pPr>
        <w:pStyle w:val="BodyText"/>
      </w:pPr>
      <w:r>
        <w:t xml:space="preserve">The core debate is shifting from</w:t>
      </w:r>
      <w:r>
        <w:t xml:space="preserve"> </w:t>
      </w:r>
      <w:r>
        <w:rPr>
          <w:i/>
          <w:iCs/>
        </w:rPr>
        <w:t xml:space="preserve">whether</w:t>
      </w:r>
      <w:r>
        <w:t xml:space="preserve"> </w:t>
      </w:r>
      <w:r>
        <w:t xml:space="preserve">Hershey can recover from the cocoa-driven margin pressure to</w:t>
      </w:r>
      <w:r>
        <w:t xml:space="preserve"> </w:t>
      </w:r>
      <w:r>
        <w:rPr>
          <w:i/>
          <w:iCs/>
        </w:rPr>
        <w:t xml:space="preserve">how quickly</w:t>
      </w:r>
      <w:r>
        <w:t xml:space="preserve"> </w:t>
      </w:r>
      <w:r>
        <w:t xml:space="preserve">it can turn improving commodity comparisons, pricing carryover, productivity, and portfolio execution into earnings growth—without damaging unit trends or category share.</w:t>
      </w:r>
    </w:p>
    <w:p>
      <w:pPr>
        <w:pStyle w:val="BodyText"/>
      </w:pPr>
      <w:r>
        <w:t xml:space="preserve">Management’s April framework points to a favorable margin inflection:</w:t>
      </w:r>
      <w:r>
        <w:t xml:space="preserve"> </w:t>
      </w:r>
      <w:r>
        <w:rPr>
          <w:b/>
          <w:bCs/>
        </w:rPr>
        <w:t xml:space="preserve">roughly +300 bps of year-over-year gross-margin improvement in 2Q</w:t>
      </w:r>
      <w:r>
        <w:t xml:space="preserve">, accelerating to</w:t>
      </w:r>
      <w:r>
        <w:t xml:space="preserve"> </w:t>
      </w:r>
      <w:r>
        <w:rPr>
          <w:b/>
          <w:bCs/>
        </w:rPr>
        <w:t xml:space="preserve">more than +500 bps in the second half</w:t>
      </w:r>
      <w:r>
        <w:t xml:space="preserve">. That sets a relatively high bar for execution, but it also makes a clean 2Q margin print and reaffirmed/full-year-raised outlook potentially meaningful catalysts.</w:t>
      </w:r>
    </w:p>
    <w:p>
      <w:pPr>
        <w:pStyle w:val="BodyText"/>
      </w:pPr>
      <w:r>
        <w:t xml:space="preserve">HSY closed at</w:t>
      </w:r>
      <w:r>
        <w:t xml:space="preserve"> </w:t>
      </w:r>
      <w:r>
        <w:rPr>
          <w:b/>
          <w:bCs/>
        </w:rPr>
        <w:t xml:space="preserve">$184.41 on July 29</w:t>
      </w:r>
      <w:r>
        <w:t xml:space="preserve">, up about</w:t>
      </w:r>
      <w:r>
        <w:t xml:space="preserve"> </w:t>
      </w:r>
      <w:r>
        <w:rPr>
          <w:b/>
          <w:bCs/>
        </w:rPr>
        <w:t xml:space="preserve">8% from its July 15 low</w:t>
      </w:r>
      <w:r>
        <w:t xml:space="preserve">, though still roughly</w:t>
      </w:r>
      <w:r>
        <w:t xml:space="preserve"> </w:t>
      </w:r>
      <w:r>
        <w:rPr>
          <w:b/>
          <w:bCs/>
        </w:rPr>
        <w:t xml:space="preserve">7% below its late-May high</w:t>
      </w:r>
      <w:r>
        <w:t xml:space="preserve">. The stock has recovered into earnings, suggesting investors may require confirmation—not merely a timing-adjusted revenue explanation—to sustain momentum.</w:t>
      </w:r>
    </w:p>
    <w:p>
      <w:r>
        <w:pict>
          <v:rect style="width:0;height:1.5pt" o:hralign="center" o:hrstd="t" o:hr="t"/>
        </w:pict>
      </w:r>
    </w:p>
    <w:bookmarkEnd w:id="9"/>
    <w:bookmarkStart w:id="13" w:name="X399f875e25ba301bdbbad9b32bbc3d8063b786d"/>
    <w:p>
      <w:pPr>
        <w:pStyle w:val="Heading2"/>
      </w:pPr>
      <w:r>
        <w:t xml:space="preserve">What management has already told investors</w:t>
      </w:r>
    </w:p>
    <w:bookmarkStart w:id="10" w:name="X2b6266d64495de3b0e03bfc053588861f80755c"/>
    <w:p>
      <w:pPr>
        <w:pStyle w:val="Heading3"/>
      </w:pPr>
      <w:r>
        <w:t xml:space="preserve">1. Sales cadence will look weak in 2Q—but should not be read in isolation</w:t>
      </w:r>
    </w:p>
    <w:p>
      <w:pPr>
        <w:pStyle w:val="FirstParagraph"/>
      </w:pPr>
      <w:r>
        <w:t xml:space="preserve">In 1Q, consolidated organic constant-currency sales grew</w:t>
      </w:r>
      <w:r>
        <w:t xml:space="preserve"> </w:t>
      </w:r>
      <w:r>
        <w:rPr>
          <w:b/>
          <w:bCs/>
        </w:rPr>
        <w:t xml:space="preserve">7.9%</w:t>
      </w:r>
      <w:r>
        <w:t xml:space="preserve">, driven by approximately</w:t>
      </w:r>
      <w:r>
        <w:t xml:space="preserve"> </w:t>
      </w:r>
      <w:r>
        <w:rPr>
          <w:b/>
          <w:bCs/>
        </w:rPr>
        <w:t xml:space="preserve">10 points of price</w:t>
      </w:r>
      <w:r>
        <w:t xml:space="preserve"> </w:t>
      </w:r>
      <w:r>
        <w:t xml:space="preserve">and a</w:t>
      </w:r>
      <w:r>
        <w:t xml:space="preserve"> </w:t>
      </w:r>
      <w:r>
        <w:rPr>
          <w:b/>
          <w:bCs/>
        </w:rPr>
        <w:t xml:space="preserve">2-point volume/mix decline</w:t>
      </w:r>
      <w:r>
        <w:t xml:space="preserve">. North America Confectionery organic growth was</w:t>
      </w:r>
      <w:r>
        <w:t xml:space="preserve"> </w:t>
      </w:r>
      <w:r>
        <w:rPr>
          <w:b/>
          <w:bCs/>
        </w:rPr>
        <w:t xml:space="preserve">8.0%</w:t>
      </w:r>
      <w:r>
        <w:t xml:space="preserve">, but contained an estimated benefit from shipment timing.</w:t>
      </w:r>
    </w:p>
    <w:p>
      <w:pPr>
        <w:pStyle w:val="BodyText"/>
      </w:pPr>
      <w:r>
        <w:t xml:space="preserve">Management said on the 1Q call that North America Confectionery organic sales should be</w:t>
      </w:r>
      <w:r>
        <w:t xml:space="preserve"> </w:t>
      </w:r>
      <w:r>
        <w:rPr>
          <w:b/>
          <w:bCs/>
        </w:rPr>
        <w:t xml:space="preserve">slightly negative in 2Q</w:t>
      </w:r>
      <w:r>
        <w:t xml:space="preserve">, driven by:</w:t>
      </w:r>
    </w:p>
    <w:p>
      <w:pPr>
        <w:pStyle w:val="Compact"/>
        <w:numPr>
          <w:ilvl w:val="0"/>
          <w:numId w:val="1001"/>
        </w:numPr>
      </w:pPr>
      <w:r>
        <w:t xml:space="preserve">Strong Easter sell-through and earlier shipment of spring/S’mores programs;</w:t>
      </w:r>
    </w:p>
    <w:p>
      <w:pPr>
        <w:pStyle w:val="Compact"/>
        <w:numPr>
          <w:ilvl w:val="0"/>
          <w:numId w:val="1001"/>
        </w:numPr>
      </w:pPr>
      <w:r>
        <w:t xml:space="preserve">Some inventory/shipment pull-forward in international markets;</w:t>
      </w:r>
    </w:p>
    <w:p>
      <w:pPr>
        <w:pStyle w:val="Compact"/>
        <w:numPr>
          <w:ilvl w:val="0"/>
          <w:numId w:val="1001"/>
        </w:numPr>
      </w:pPr>
      <w:r>
        <w:t xml:space="preserve">No indication that the outlook reflected a fundamental deterioration in consumption.</w:t>
      </w:r>
    </w:p>
    <w:p>
      <w:pPr>
        <w:pStyle w:val="FirstParagraph"/>
      </w:pPr>
      <w:r>
        <w:rPr>
          <w:b/>
          <w:bCs/>
        </w:rPr>
        <w:t xml:space="preserve">Investor implication:</w:t>
      </w:r>
      <w:r>
        <w:t xml:space="preserve"> </w:t>
      </w:r>
      <w:r>
        <w:t xml:space="preserve">The key is whether management can show that sell-through, market share, and velocity improved sequentially after the April timing distortion. A worse-than-expected top line accompanied by weak consumption or an adverse elasticity update would be more concerning than a modest organic-sales decline alone.</w:t>
      </w:r>
    </w:p>
    <w:bookmarkEnd w:id="10"/>
    <w:bookmarkStart w:id="11" w:name="X526a422b1344d367390851be97492ff1a93a940"/>
    <w:p>
      <w:pPr>
        <w:pStyle w:val="Heading3"/>
      </w:pPr>
      <w:r>
        <w:t xml:space="preserve">2. The margin recovery is expected to begin in earnest</w:t>
      </w:r>
    </w:p>
    <w:p>
      <w:pPr>
        <w:pStyle w:val="FirstParagraph"/>
      </w:pPr>
      <w:r>
        <w:t xml:space="preserve">1Q adjusted gross margin declined</w:t>
      </w:r>
      <w:r>
        <w:t xml:space="preserve"> </w:t>
      </w:r>
      <w:r>
        <w:rPr>
          <w:b/>
          <w:bCs/>
        </w:rPr>
        <w:t xml:space="preserve">80 bps</w:t>
      </w:r>
      <w:r>
        <w:t xml:space="preserve"> </w:t>
      </w:r>
      <w:r>
        <w:t xml:space="preserve">year over year to</w:t>
      </w:r>
      <w:r>
        <w:t xml:space="preserve"> </w:t>
      </w:r>
      <w:r>
        <w:rPr>
          <w:b/>
          <w:bCs/>
        </w:rPr>
        <w:t xml:space="preserve">40.4%</w:t>
      </w:r>
      <w:r>
        <w:t xml:space="preserve">, as higher commodity and tariff-related costs outweighed price, supply-chain productivity, and transformation savings. But that comparison should improve markedly as Hershey moves beyond prior-year cost pressure.</w:t>
      </w:r>
    </w:p>
    <w:p>
      <w:pPr>
        <w:pStyle w:val="BodyText"/>
      </w:pPr>
      <w:r>
        <w:t xml:space="preserve">Management’s stated cadence: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2Q gross margin:</w:t>
      </w:r>
      <w:r>
        <w:t xml:space="preserve"> </w:t>
      </w:r>
      <w:r>
        <w:t xml:space="preserve">nearly</w:t>
      </w:r>
      <w:r>
        <w:t xml:space="preserve"> </w:t>
      </w:r>
      <w:r>
        <w:rPr>
          <w:b/>
          <w:bCs/>
        </w:rPr>
        <w:t xml:space="preserve">+300 bps</w:t>
      </w:r>
      <w:r>
        <w:t xml:space="preserve"> </w:t>
      </w:r>
      <w:r>
        <w:t xml:space="preserve">year over year;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2H gross margin:</w:t>
      </w:r>
      <w:r>
        <w:t xml:space="preserve"> </w:t>
      </w:r>
      <w:r>
        <w:rPr>
          <w:b/>
          <w:bCs/>
        </w:rPr>
        <w:t xml:space="preserve">more than +500 bps</w:t>
      </w:r>
      <w:r>
        <w:t xml:space="preserve"> </w:t>
      </w:r>
      <w:r>
        <w:t xml:space="preserve">year over year.</w:t>
      </w:r>
    </w:p>
    <w:p>
      <w:pPr>
        <w:pStyle w:val="FirstParagraph"/>
      </w:pPr>
      <w:r>
        <w:t xml:space="preserve">The bridge is expected to include pricing realization, lower commodity-cost pressure as expensive cocoa comparisons ease, supply-chain productivity, and savings from the Advancing Agility &amp; Automation program. The offset is purposeful reinvestment in advertising, consumer marketing, innovation, and tent-pole activations.</w:t>
      </w:r>
    </w:p>
    <w:p>
      <w:pPr>
        <w:pStyle w:val="BodyText"/>
      </w:pPr>
      <w:r>
        <w:rPr>
          <w:b/>
          <w:bCs/>
        </w:rPr>
        <w:t xml:space="preserve">Investor implication:</w:t>
      </w:r>
      <w:r>
        <w:t xml:space="preserve"> </w:t>
      </w:r>
      <w:r>
        <w:t xml:space="preserve">Gross margin is the most important financial line in the quarter. Strong delivery with an unchanged or higher full-year EPS outlook would validate the recovery model. A miss would raise questions about cocoa, tariffs, freight/packaging, mix, or the extent to which reinvestment must rise to protect volume.</w:t>
      </w:r>
    </w:p>
    <w:bookmarkEnd w:id="11"/>
    <w:bookmarkStart w:id="12" w:name="X4b661f0ae4b990b15c9854cf98533c55fb04be9"/>
    <w:p>
      <w:pPr>
        <w:pStyle w:val="Heading3"/>
      </w:pPr>
      <w:r>
        <w:t xml:space="preserve">3. Full-year guidance leaves room for a more constructive message</w:t>
      </w:r>
    </w:p>
    <w:p>
      <w:pPr>
        <w:pStyle w:val="FirstParagraph"/>
      </w:pPr>
      <w:r>
        <w:t xml:space="preserve">Hershey reaffirmed the following full-year 2026 outlook in April: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Metric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2026 guidance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Net sales growth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4%–5%</w:t>
            </w:r>
          </w:p>
        </w:tc>
      </w:tr>
      <w:tr>
        <w:tc>
          <w:tcPr/>
          <w:p>
            <w:pPr>
              <w:pStyle w:val="Compact"/>
            </w:pPr>
            <w:r>
              <w:t xml:space="preserve">Organic constant-currency sales growth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2.5%–3.5%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  <w:jc w:val="right"/>
            </w:pPr>
            <m:oMath>
              <m:r>
                <m:t>8.20</m:t>
              </m:r>
              <m:r>
                <m:rPr>
                  <m:sty m:val="p"/>
                </m:rPr>
                <m:t>–</m:t>
              </m:r>
            </m:oMath>
            <w:r>
              <w:t xml:space="preserve">8.52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Adjusted EPS growth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30%–35%</w:t>
            </w:r>
          </w:p>
        </w:tc>
      </w:tr>
      <w:tr>
        <w:tc>
          <w:tcPr/>
          <w:p>
            <w:pPr>
              <w:pStyle w:val="Compact"/>
            </w:pPr>
            <w:r>
              <w:t xml:space="preserve">Agility &amp; Automation savings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Approximately $100 million</w:t>
            </w:r>
          </w:p>
        </w:tc>
      </w:tr>
    </w:tbl>
    <w:p>
      <w:pPr>
        <w:pStyle w:val="BodyText"/>
      </w:pPr>
      <w:r>
        <w:t xml:space="preserve">Management characterized its approach as cautious given evolving macro risks and said the midyear report would offer better visibility on elasticities, new price-pack architecture, and the broader demand environment. That puts particular attention on whether it</w:t>
      </w:r>
      <w:r>
        <w:t xml:space="preserve"> </w:t>
      </w:r>
      <w:r>
        <w:rPr>
          <w:b/>
          <w:bCs/>
        </w:rPr>
        <w:t xml:space="preserve">reaffirms, narrows, or raises</w:t>
      </w:r>
      <w:r>
        <w:t xml:space="preserve"> </w:t>
      </w:r>
      <w:r>
        <w:t xml:space="preserve">guidance.</w:t>
      </w:r>
    </w:p>
    <w:p>
      <w:r>
        <w:pict>
          <v:rect style="width:0;height:1.5pt" o:hralign="center" o:hrstd="t" o:hr="t"/>
        </w:pict>
      </w:r>
    </w:p>
    <w:bookmarkEnd w:id="12"/>
    <w:bookmarkEnd w:id="13"/>
    <w:bookmarkStart w:id="14" w:name="the-key-issues-to-watch"/>
    <w:p>
      <w:pPr>
        <w:pStyle w:val="Heading2"/>
      </w:pPr>
      <w:r>
        <w:t xml:space="preserve">The key issues to watch</w:t>
      </w:r>
    </w:p>
    <w:bookmarkEnd w:id="14"/>
    <w:bookmarkStart w:id="15" w:name="X82162110cb5d51fc97ffa6da7abba3cc722ae9a"/>
    <w:p>
      <w:pPr>
        <w:pStyle w:val="Heading2"/>
      </w:pPr>
      <w:r>
        <w:t xml:space="preserve">1. Price elasticity, volumes, and confectionery share</w:t>
      </w:r>
    </w:p>
    <w:p>
      <w:pPr>
        <w:pStyle w:val="FirstParagraph"/>
      </w:pPr>
      <w:r>
        <w:t xml:space="preserve">Hershey’s 1Q revenue growth was principally price-led. North America Confectionery recorded roughly</w:t>
      </w:r>
      <w:r>
        <w:t xml:space="preserve"> </w:t>
      </w:r>
      <w:r>
        <w:rPr>
          <w:b/>
          <w:bCs/>
        </w:rPr>
        <w:t xml:space="preserve">12 points of price</w:t>
      </w:r>
      <w:r>
        <w:t xml:space="preserve"> </w:t>
      </w:r>
      <w:r>
        <w:t xml:space="preserve">against a</w:t>
      </w:r>
      <w:r>
        <w:t xml:space="preserve"> </w:t>
      </w:r>
      <w:r>
        <w:rPr>
          <w:b/>
          <w:bCs/>
        </w:rPr>
        <w:t xml:space="preserve">4-point volume decline</w:t>
      </w:r>
      <w:r>
        <w:t xml:space="preserve">. Elasticities were running better than management’s planning assumptions, but the company remained deliberately cautious because new price-pack architecture was still reaching shelves.</w:t>
      </w:r>
    </w:p>
    <w:p>
      <w:pPr>
        <w:pStyle w:val="BodyText"/>
      </w:pPr>
      <w:r>
        <w:t xml:space="preserve">The 2Q report should clarify whether:</w:t>
      </w:r>
    </w:p>
    <w:p>
      <w:pPr>
        <w:pStyle w:val="Compact"/>
        <w:numPr>
          <w:ilvl w:val="0"/>
          <w:numId w:val="1003"/>
        </w:numPr>
      </w:pPr>
      <w:r>
        <w:t xml:space="preserve">Price elasticity remains favorable;</w:t>
      </w:r>
    </w:p>
    <w:p>
      <w:pPr>
        <w:pStyle w:val="Compact"/>
        <w:numPr>
          <w:ilvl w:val="0"/>
          <w:numId w:val="1003"/>
        </w:numPr>
      </w:pPr>
      <w:r>
        <w:t xml:space="preserve">Consumers are accepting the revised pricing and pack architecture;</w:t>
      </w:r>
    </w:p>
    <w:p>
      <w:pPr>
        <w:pStyle w:val="Compact"/>
        <w:numPr>
          <w:ilvl w:val="0"/>
          <w:numId w:val="1003"/>
        </w:numPr>
      </w:pPr>
      <w:r>
        <w:t xml:space="preserve">Category demand is holding in convenience and immediate-consumption channels;</w:t>
      </w:r>
    </w:p>
    <w:p>
      <w:pPr>
        <w:pStyle w:val="Compact"/>
        <w:numPr>
          <w:ilvl w:val="0"/>
          <w:numId w:val="1003"/>
        </w:numPr>
      </w:pPr>
      <w:r>
        <w:t xml:space="preserve">Hershey is regaining share following 1Q pressure from heightened competitive innovation and merchandising.</w:t>
      </w:r>
    </w:p>
    <w:p>
      <w:pPr>
        <w:pStyle w:val="FirstParagraph"/>
      </w:pPr>
      <w:r>
        <w:t xml:space="preserve">Management noted that it exited spring resets in a net positive position across items and innovation in key channels. The company has also emphasized stand-up bags, improved shelf architecture, broader distribution for top SKUs, and tent-pole merchandising as drivers of second-half unit and occasion growth.</w:t>
      </w:r>
    </w:p>
    <w:p>
      <w:pPr>
        <w:pStyle w:val="BodyText"/>
      </w:pPr>
      <w:r>
        <w:rPr>
          <w:b/>
          <w:bCs/>
        </w:rPr>
        <w:t xml:space="preserve">What would be constructive:</w:t>
      </w:r>
      <w:r>
        <w:t xml:space="preserve"> </w:t>
      </w:r>
      <w:r>
        <w:t xml:space="preserve">Stable-to-improving volume trends, resilient retail takeaway, and confidence that new shelf sets and merchandising will support share in the second half.</w:t>
      </w:r>
    </w:p>
    <w:p>
      <w:pPr>
        <w:pStyle w:val="BodyText"/>
      </w:pPr>
      <w:r>
        <w:rPr>
          <w:b/>
          <w:bCs/>
        </w:rPr>
        <w:t xml:space="preserve">What would be negative:</w:t>
      </w:r>
      <w:r>
        <w:t xml:space="preserve"> </w:t>
      </w:r>
      <w:r>
        <w:t xml:space="preserve">Evidence that competitors are using lower cocoa costs to become more promotional, leading to worsening price elasticity or sustained share loss.</w:t>
      </w:r>
    </w:p>
    <w:p>
      <w:r>
        <w:pict>
          <v:rect style="width:0;height:1.5pt" o:hralign="center" o:hrstd="t" o:hr="t"/>
        </w:pict>
      </w:r>
    </w:p>
    <w:bookmarkEnd w:id="15"/>
    <w:bookmarkStart w:id="16" w:name="X28c0796a202a456e7c6a5655ec14d04e240a8ee"/>
    <w:p>
      <w:pPr>
        <w:pStyle w:val="Heading2"/>
      </w:pPr>
      <w:r>
        <w:t xml:space="preserve">2. Second-half activation: tent poles, innovation, and seasonal execution</w:t>
      </w:r>
    </w:p>
    <w:p>
      <w:pPr>
        <w:pStyle w:val="FirstParagraph"/>
      </w:pPr>
      <w:r>
        <w:t xml:space="preserve">Management is leaning into a broader “One Hershey” commercial model, combining confection and salty snacks around more frequent cultural and consumption occasions. It expects tent-pole activity to contribute roughly</w:t>
      </w:r>
      <w:r>
        <w:t xml:space="preserve"> </w:t>
      </w:r>
      <w:r>
        <w:rPr>
          <w:b/>
          <w:bCs/>
        </w:rPr>
        <w:t xml:space="preserve">one point of growth</w:t>
      </w:r>
      <w:r>
        <w:t xml:space="preserve"> </w:t>
      </w:r>
      <w:r>
        <w:t xml:space="preserve">this year.</w:t>
      </w:r>
    </w:p>
    <w:p>
      <w:pPr>
        <w:pStyle w:val="BodyText"/>
      </w:pPr>
      <w:r>
        <w:t xml:space="preserve">Near-term execution themes include:</w:t>
      </w:r>
    </w:p>
    <w:p>
      <w:pPr>
        <w:pStyle w:val="Compact"/>
        <w:numPr>
          <w:ilvl w:val="0"/>
          <w:numId w:val="1004"/>
        </w:numPr>
      </w:pPr>
      <w:r>
        <w:t xml:space="preserve">Fourth of July / U.S. 250th-anniversary programming;</w:t>
      </w:r>
    </w:p>
    <w:p>
      <w:pPr>
        <w:pStyle w:val="Compact"/>
        <w:numPr>
          <w:ilvl w:val="0"/>
          <w:numId w:val="1004"/>
        </w:numPr>
      </w:pPr>
      <w:r>
        <w:t xml:space="preserve">S’mores and summer-travel occasions;</w:t>
      </w:r>
    </w:p>
    <w:p>
      <w:pPr>
        <w:pStyle w:val="Compact"/>
        <w:numPr>
          <w:ilvl w:val="0"/>
          <w:numId w:val="1004"/>
        </w:numPr>
      </w:pPr>
      <w:r>
        <w:t xml:space="preserve">Back-to-school;</w:t>
      </w:r>
    </w:p>
    <w:p>
      <w:pPr>
        <w:pStyle w:val="Compact"/>
        <w:numPr>
          <w:ilvl w:val="0"/>
          <w:numId w:val="1004"/>
        </w:numPr>
      </w:pPr>
      <w:r>
        <w:t xml:space="preserve">Halloween and other seasonal events;</w:t>
      </w:r>
    </w:p>
    <w:p>
      <w:pPr>
        <w:pStyle w:val="Compact"/>
        <w:numPr>
          <w:ilvl w:val="0"/>
          <w:numId w:val="1004"/>
        </w:numPr>
      </w:pPr>
      <w:r>
        <w:t xml:space="preserve">New accessible-premium Hershey innovation later in 2026;</w:t>
      </w:r>
    </w:p>
    <w:p>
      <w:pPr>
        <w:pStyle w:val="Compact"/>
        <w:numPr>
          <w:ilvl w:val="0"/>
          <w:numId w:val="1004"/>
        </w:numPr>
      </w:pPr>
      <w:r>
        <w:t xml:space="preserve">Continued Reese’s, Jolly Rancher, Twizzlers, Dot’s, SkinnyPop, and LesserEvil activity.</w:t>
      </w:r>
    </w:p>
    <w:p>
      <w:pPr>
        <w:pStyle w:val="FirstParagraph"/>
      </w:pPr>
      <w:r>
        <w:t xml:space="preserve">The earnings call should offer the first meaningful update on how summer activations are landing at retail and whether the improved shelf/reset position is translating into shipment and consumption momentum.</w:t>
      </w:r>
    </w:p>
    <w:p>
      <w:pPr>
        <w:pStyle w:val="BodyText"/>
      </w:pPr>
      <w:r>
        <w:rPr>
          <w:b/>
          <w:bCs/>
        </w:rPr>
        <w:t xml:space="preserve">Why it matters:</w:t>
      </w:r>
      <w:r>
        <w:t xml:space="preserve"> </w:t>
      </w:r>
      <w:r>
        <w:t xml:space="preserve">Hershey’s medium-term strategy relies on returning to a more balanced model of price plus unit/occasion growth. The second half is the first major test of that transition.</w:t>
      </w:r>
    </w:p>
    <w:p>
      <w:r>
        <w:pict>
          <v:rect style="width:0;height:1.5pt" o:hralign="center" o:hrstd="t" o:hr="t"/>
        </w:pict>
      </w:r>
    </w:p>
    <w:bookmarkEnd w:id="16"/>
    <w:bookmarkStart w:id="17" w:name="Xe9c93270142cffa4cd0f573d9806844b585a546"/>
    <w:p>
      <w:pPr>
        <w:pStyle w:val="Heading2"/>
      </w:pPr>
      <w:r>
        <w:t xml:space="preserve">3. Cocoa and other input costs: better, but not irrelevant</w:t>
      </w:r>
    </w:p>
    <w:p>
      <w:pPr>
        <w:pStyle w:val="FirstParagraph"/>
      </w:pPr>
      <w:r>
        <w:t xml:space="preserve">Cocoa’s decline from its extreme levels has improved the medium-term margin narrative, but the benefit to reported earnings is governed by Hershey’s hedge book, inventory timing, and the timing of when high-cost cocoa rolls off.</w:t>
      </w:r>
    </w:p>
    <w:p>
      <w:pPr>
        <w:pStyle w:val="BodyText"/>
      </w:pPr>
      <w:r>
        <w:t xml:space="preserve">At Investor Day and on the 1Q call, management’s message was:</w:t>
      </w:r>
    </w:p>
    <w:p>
      <w:pPr>
        <w:pStyle w:val="Compact"/>
        <w:numPr>
          <w:ilvl w:val="0"/>
          <w:numId w:val="1005"/>
        </w:numPr>
      </w:pPr>
      <w:r>
        <w:t xml:space="preserve">It expects a larger cocoa surplus in 2025–26;</w:t>
      </w:r>
    </w:p>
    <w:p>
      <w:pPr>
        <w:pStyle w:val="Compact"/>
        <w:numPr>
          <w:ilvl w:val="0"/>
          <w:numId w:val="1005"/>
        </w:numPr>
      </w:pPr>
      <w:r>
        <w:t xml:space="preserve">It sees the potential to participate in lower cocoa costs more meaningfully in</w:t>
      </w:r>
      <w:r>
        <w:t xml:space="preserve"> </w:t>
      </w:r>
      <w:r>
        <w:rPr>
          <w:b/>
          <w:bCs/>
        </w:rPr>
        <w:t xml:space="preserve">2027 and beyond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t xml:space="preserve">Its long-term view remains cautious relative to historical cocoa-price levels;</w:t>
      </w:r>
    </w:p>
    <w:p>
      <w:pPr>
        <w:pStyle w:val="Compact"/>
        <w:numPr>
          <w:ilvl w:val="0"/>
          <w:numId w:val="1005"/>
        </w:numPr>
      </w:pPr>
      <w:r>
        <w:t xml:space="preserve">It believes it is well covered for 2026.</w:t>
      </w:r>
    </w:p>
    <w:p>
      <w:pPr>
        <w:pStyle w:val="FirstParagraph"/>
      </w:pPr>
      <w:r>
        <w:t xml:space="preserve">The key question for 2Q is not whether spot cocoa has fallen, but whether management’s expected 2H margin recovery remains intact and whether lower costs create greater 2027 upside.</w:t>
      </w:r>
    </w:p>
    <w:p>
      <w:pPr>
        <w:pStyle w:val="BodyText"/>
      </w:pPr>
      <w:r>
        <w:t xml:space="preserve">Other costs deserve attention as well. Management previously said oil exposure was limited directly, though packaging and freight could be indirect risks if energy costs remain elevated for a prolonged period.</w:t>
      </w:r>
    </w:p>
    <w:p>
      <w:r>
        <w:pict>
          <v:rect style="width:0;height:1.5pt" o:hralign="center" o:hrstd="t" o:hr="t"/>
        </w:pict>
      </w:r>
    </w:p>
    <w:bookmarkEnd w:id="17"/>
    <w:bookmarkStart w:id="18" w:name="X1e97645eeff768676d33c5d40fabdd648dbfd95"/>
    <w:p>
      <w:pPr>
        <w:pStyle w:val="Heading2"/>
      </w:pPr>
      <w:r>
        <w:t xml:space="preserve">4. Salty Snacks: growth is strong; profitability must normalize</w:t>
      </w:r>
    </w:p>
    <w:p>
      <w:pPr>
        <w:pStyle w:val="FirstParagraph"/>
      </w:pPr>
      <w:r>
        <w:t xml:space="preserve">North America Salty Snacks grew</w:t>
      </w:r>
      <w:r>
        <w:t xml:space="preserve"> </w:t>
      </w:r>
      <w:r>
        <w:rPr>
          <w:b/>
          <w:bCs/>
        </w:rPr>
        <w:t xml:space="preserve">26%</w:t>
      </w:r>
      <w:r>
        <w:t xml:space="preserve"> </w:t>
      </w:r>
      <w:r>
        <w:t xml:space="preserve">in 1Q, including about</w:t>
      </w:r>
      <w:r>
        <w:t xml:space="preserve"> </w:t>
      </w:r>
      <w:r>
        <w:rPr>
          <w:b/>
          <w:bCs/>
        </w:rPr>
        <w:t xml:space="preserve">20 points</w:t>
      </w:r>
      <w:r>
        <w:t xml:space="preserve"> </w:t>
      </w:r>
      <w:r>
        <w:t xml:space="preserve">from the LesserEvil acquisition. Organic growth was</w:t>
      </w:r>
      <w:r>
        <w:t xml:space="preserve"> </w:t>
      </w:r>
      <w:r>
        <w:rPr>
          <w:b/>
          <w:bCs/>
        </w:rPr>
        <w:t xml:space="preserve">5.6%</w:t>
      </w:r>
      <w:r>
        <w:t xml:space="preserve">, supported by more than five points of volume growth. Yet segment profit declined</w:t>
      </w:r>
      <w:r>
        <w:t xml:space="preserve"> </w:t>
      </w:r>
      <w:r>
        <w:rPr>
          <w:b/>
          <w:bCs/>
        </w:rPr>
        <w:t xml:space="preserve">18%</w:t>
      </w:r>
      <w:r>
        <w:t xml:space="preserve">, and margin fell</w:t>
      </w:r>
      <w:r>
        <w:t xml:space="preserve"> </w:t>
      </w:r>
      <w:r>
        <w:rPr>
          <w:b/>
          <w:bCs/>
        </w:rPr>
        <w:t xml:space="preserve">530 bps</w:t>
      </w:r>
      <w:r>
        <w:t xml:space="preserve"> </w:t>
      </w:r>
      <w:r>
        <w:t xml:space="preserve">to</w:t>
      </w:r>
      <w:r>
        <w:t xml:space="preserve"> </w:t>
      </w:r>
      <w:r>
        <w:rPr>
          <w:b/>
          <w:bCs/>
        </w:rPr>
        <w:t xml:space="preserve">9.8%</w:t>
      </w:r>
      <w:r>
        <w:t xml:space="preserve">, due to a temporary product withdrawal, higher logistics costs associated with a delayed distribution-center opening, and heavier marketing investment.</w:t>
      </w:r>
    </w:p>
    <w:p>
      <w:pPr>
        <w:pStyle w:val="BodyText"/>
      </w:pPr>
      <w:r>
        <w:t xml:space="preserve">Management described these as temporary issues and expects Salty segment operating income to grow double digits for the full year.</w:t>
      </w:r>
    </w:p>
    <w:p>
      <w:pPr>
        <w:pStyle w:val="BodyText"/>
      </w:pPr>
      <w:r>
        <w:t xml:space="preserve">2Q questions:</w:t>
      </w:r>
    </w:p>
    <w:p>
      <w:pPr>
        <w:pStyle w:val="Compact"/>
        <w:numPr>
          <w:ilvl w:val="0"/>
          <w:numId w:val="1006"/>
        </w:numPr>
      </w:pPr>
      <w:r>
        <w:t xml:space="preserve">Have the discrete logistics and withdrawal-related costs fully rolled off?</w:t>
      </w:r>
    </w:p>
    <w:p>
      <w:pPr>
        <w:pStyle w:val="Compact"/>
        <w:numPr>
          <w:ilvl w:val="0"/>
          <w:numId w:val="1006"/>
        </w:numPr>
      </w:pPr>
      <w:r>
        <w:t xml:space="preserve">Is LesserEvil integration proceeding as planned?</w:t>
      </w:r>
    </w:p>
    <w:p>
      <w:pPr>
        <w:pStyle w:val="Compact"/>
        <w:numPr>
          <w:ilvl w:val="0"/>
          <w:numId w:val="1006"/>
        </w:numPr>
      </w:pPr>
      <w:r>
        <w:t xml:space="preserve">Are Dot’s, SkinnyPop, and LesserEvil maintaining their category momentum?</w:t>
      </w:r>
    </w:p>
    <w:p>
      <w:pPr>
        <w:pStyle w:val="Compact"/>
        <w:numPr>
          <w:ilvl w:val="0"/>
          <w:numId w:val="1006"/>
        </w:numPr>
      </w:pPr>
      <w:r>
        <w:t xml:space="preserve">Is planned private-label rationalization still a drag on reported sales, despite healthier branded consumption?</w:t>
      </w:r>
    </w:p>
    <w:p>
      <w:pPr>
        <w:pStyle w:val="FirstParagraph"/>
      </w:pPr>
      <w:r>
        <w:rPr>
          <w:b/>
          <w:bCs/>
        </w:rPr>
        <w:t xml:space="preserve">Investor implication:</w:t>
      </w:r>
      <w:r>
        <w:t xml:space="preserve"> </w:t>
      </w:r>
      <w:r>
        <w:t xml:space="preserve">A clear margin rebound in Salty would strengthen the credibility of Hershey’s ambition to build a scaled, higher-margin #2 salty-snacking platform over time.</w:t>
      </w:r>
    </w:p>
    <w:p>
      <w:r>
        <w:pict>
          <v:rect style="width:0;height:1.5pt" o:hralign="center" o:hrstd="t" o:hr="t"/>
        </w:pict>
      </w:r>
    </w:p>
    <w:bookmarkEnd w:id="18"/>
    <w:bookmarkStart w:id="19" w:name="X1a6fa04b38188b28d809d90c85dec32a55dbba1"/>
    <w:p>
      <w:pPr>
        <w:pStyle w:val="Heading2"/>
      </w:pPr>
      <w:r>
        <w:t xml:space="preserve">5. International remains the swing segment</w:t>
      </w:r>
    </w:p>
    <w:p>
      <w:pPr>
        <w:pStyle w:val="FirstParagraph"/>
      </w:pPr>
      <w:r>
        <w:t xml:space="preserve">International sales rose</w:t>
      </w:r>
      <w:r>
        <w:t xml:space="preserve"> </w:t>
      </w:r>
      <w:r>
        <w:rPr>
          <w:b/>
          <w:bCs/>
        </w:rPr>
        <w:t xml:space="preserve">16.1%</w:t>
      </w:r>
      <w:r>
        <w:t xml:space="preserve"> </w:t>
      </w:r>
      <w:r>
        <w:t xml:space="preserve">in 1Q, or</w:t>
      </w:r>
      <w:r>
        <w:t xml:space="preserve"> </w:t>
      </w:r>
      <w:r>
        <w:rPr>
          <w:b/>
          <w:bCs/>
        </w:rPr>
        <w:t xml:space="preserve">9.3% organically in constant currency</w:t>
      </w:r>
      <w:r>
        <w:t xml:space="preserve">, but volume declined approximately 2%, and segment margin fell</w:t>
      </w:r>
      <w:r>
        <w:t xml:space="preserve"> </w:t>
      </w:r>
      <w:r>
        <w:rPr>
          <w:b/>
          <w:bCs/>
        </w:rPr>
        <w:t xml:space="preserve">680 bps</w:t>
      </w:r>
      <w:r>
        <w:t xml:space="preserve"> </w:t>
      </w:r>
      <w:r>
        <w:t xml:space="preserve">to</w:t>
      </w:r>
      <w:r>
        <w:t xml:space="preserve"> </w:t>
      </w:r>
      <w:r>
        <w:rPr>
          <w:b/>
          <w:bCs/>
        </w:rPr>
        <w:t xml:space="preserve">5.8%</w:t>
      </w:r>
      <w:r>
        <w:t xml:space="preserve"> </w:t>
      </w:r>
      <w:r>
        <w:t xml:space="preserve">amid commodity, manufacturing, and advertising costs.</w:t>
      </w:r>
    </w:p>
    <w:p>
      <w:pPr>
        <w:pStyle w:val="BodyText"/>
      </w:pPr>
      <w:r>
        <w:t xml:space="preserve">Management continues to see strategic potential in Brazil, Mexico, the U.K., and Europe—particularly through Reese’s expansion—but the current earnings contribution remains pressured.</w:t>
      </w:r>
    </w:p>
    <w:p>
      <w:pPr>
        <w:pStyle w:val="BodyText"/>
      </w:pPr>
      <w:r>
        <w:t xml:space="preserve">For 2Q, investors should assess whether:</w:t>
      </w:r>
    </w:p>
    <w:p>
      <w:pPr>
        <w:pStyle w:val="Compact"/>
        <w:numPr>
          <w:ilvl w:val="0"/>
          <w:numId w:val="1007"/>
        </w:numPr>
      </w:pPr>
      <w:r>
        <w:t xml:space="preserve">International shipment timing reverses as expected;</w:t>
      </w:r>
    </w:p>
    <w:p>
      <w:pPr>
        <w:pStyle w:val="Compact"/>
        <w:numPr>
          <w:ilvl w:val="0"/>
          <w:numId w:val="1007"/>
        </w:numPr>
      </w:pPr>
      <w:r>
        <w:t xml:space="preserve">Elasticity remains manageable in more premium-positioned markets;</w:t>
      </w:r>
    </w:p>
    <w:p>
      <w:pPr>
        <w:pStyle w:val="Compact"/>
        <w:numPr>
          <w:ilvl w:val="0"/>
          <w:numId w:val="1007"/>
        </w:numPr>
      </w:pPr>
      <w:r>
        <w:t xml:space="preserve">Brazil and Mexico retain momentum;</w:t>
      </w:r>
    </w:p>
    <w:p>
      <w:pPr>
        <w:pStyle w:val="Compact"/>
        <w:numPr>
          <w:ilvl w:val="0"/>
          <w:numId w:val="1007"/>
        </w:numPr>
      </w:pPr>
      <w:r>
        <w:t xml:space="preserve">Segment profitability begins to stabilize.</w:t>
      </w:r>
    </w:p>
    <w:p>
      <w:r>
        <w:pict>
          <v:rect style="width:0;height:1.5pt" o:hralign="center" o:hrstd="t" o:hr="t"/>
        </w:pict>
      </w:r>
    </w:p>
    <w:bookmarkEnd w:id="19"/>
    <w:bookmarkStart w:id="22" w:name="potential-catalysts"/>
    <w:p>
      <w:pPr>
        <w:pStyle w:val="Heading2"/>
      </w:pPr>
      <w:r>
        <w:t xml:space="preserve">Potential catalysts</w:t>
      </w:r>
    </w:p>
    <w:bookmarkStart w:id="20" w:name="positive-catalysts"/>
    <w:p>
      <w:pPr>
        <w:pStyle w:val="Heading3"/>
      </w:pPr>
      <w:r>
        <w:t xml:space="preserve">Positive catalysts</w:t>
      </w:r>
    </w:p>
    <w:p>
      <w:pPr>
        <w:pStyle w:val="Compact"/>
        <w:numPr>
          <w:ilvl w:val="0"/>
          <w:numId w:val="1008"/>
        </w:numPr>
      </w:pPr>
      <w:r>
        <w:t xml:space="preserve">Organic sales perform better than the “slightly down” North America Confectionery setup implies after adjusting for timing.</w:t>
      </w:r>
    </w:p>
    <w:p>
      <w:pPr>
        <w:pStyle w:val="Compact"/>
        <w:numPr>
          <w:ilvl w:val="0"/>
          <w:numId w:val="1008"/>
        </w:numPr>
      </w:pPr>
      <w:r>
        <w:t xml:space="preserve">Gross margin delivers near management’s ~300 bps improvement target.</w:t>
      </w:r>
    </w:p>
    <w:p>
      <w:pPr>
        <w:pStyle w:val="Compact"/>
        <w:numPr>
          <w:ilvl w:val="0"/>
          <w:numId w:val="1008"/>
        </w:numPr>
      </w:pPr>
      <w:r>
        <w:t xml:space="preserve">Management raises or narrows 2026 adjusted EPS guidance upward.</w:t>
      </w:r>
    </w:p>
    <w:p>
      <w:pPr>
        <w:pStyle w:val="Compact"/>
        <w:numPr>
          <w:ilvl w:val="0"/>
          <w:numId w:val="1008"/>
        </w:numPr>
      </w:pPr>
      <w:r>
        <w:t xml:space="preserve">Elasticities remain favorable and market-share trends stabilize or improve.</w:t>
      </w:r>
    </w:p>
    <w:p>
      <w:pPr>
        <w:pStyle w:val="Compact"/>
        <w:numPr>
          <w:ilvl w:val="0"/>
          <w:numId w:val="1008"/>
        </w:numPr>
      </w:pPr>
      <w:r>
        <w:t xml:space="preserve">Salty Snacks margins rebound as first-quarter disruptions fade.</w:t>
      </w:r>
    </w:p>
    <w:p>
      <w:pPr>
        <w:pStyle w:val="Compact"/>
        <w:numPr>
          <w:ilvl w:val="0"/>
          <w:numId w:val="1008"/>
        </w:numPr>
      </w:pPr>
      <w:r>
        <w:t xml:space="preserve">Strong early read-through on summer activations and Halloween customer orders.</w:t>
      </w:r>
    </w:p>
    <w:bookmarkEnd w:id="20"/>
    <w:bookmarkStart w:id="21" w:name="negative-catalysts"/>
    <w:p>
      <w:pPr>
        <w:pStyle w:val="Heading3"/>
      </w:pPr>
      <w:r>
        <w:t xml:space="preserve">Negative catalysts</w:t>
      </w:r>
    </w:p>
    <w:p>
      <w:pPr>
        <w:pStyle w:val="Compact"/>
        <w:numPr>
          <w:ilvl w:val="0"/>
          <w:numId w:val="1009"/>
        </w:numPr>
      </w:pPr>
      <w:r>
        <w:t xml:space="preserve">A revenue shortfall that cannot be explained by Easter/international timing.</w:t>
      </w:r>
    </w:p>
    <w:p>
      <w:pPr>
        <w:pStyle w:val="Compact"/>
        <w:numPr>
          <w:ilvl w:val="0"/>
          <w:numId w:val="1009"/>
        </w:numPr>
      </w:pPr>
      <w:r>
        <w:t xml:space="preserve">Gross-margin recovery falls short of the stated cadence.</w:t>
      </w:r>
    </w:p>
    <w:p>
      <w:pPr>
        <w:pStyle w:val="Compact"/>
        <w:numPr>
          <w:ilvl w:val="0"/>
          <w:numId w:val="1009"/>
        </w:numPr>
      </w:pPr>
      <w:r>
        <w:t xml:space="preserve">More pronounced consumer trade-down, promotional intensity, or competitive share loss.</w:t>
      </w:r>
    </w:p>
    <w:p>
      <w:pPr>
        <w:pStyle w:val="Compact"/>
        <w:numPr>
          <w:ilvl w:val="0"/>
          <w:numId w:val="1009"/>
        </w:numPr>
      </w:pPr>
      <w:r>
        <w:t xml:space="preserve">A deterioration in price elasticity as price-pack architecture expands.</w:t>
      </w:r>
    </w:p>
    <w:p>
      <w:pPr>
        <w:pStyle w:val="Compact"/>
        <w:numPr>
          <w:ilvl w:val="0"/>
          <w:numId w:val="1009"/>
        </w:numPr>
      </w:pPr>
      <w:r>
        <w:t xml:space="preserve">Increased freight, packaging, tariff, or commodity-cost assumptions that pressure 2H guidance.</w:t>
      </w:r>
    </w:p>
    <w:p>
      <w:pPr>
        <w:pStyle w:val="Compact"/>
        <w:numPr>
          <w:ilvl w:val="0"/>
          <w:numId w:val="1009"/>
        </w:numPr>
      </w:pPr>
      <w:r>
        <w:t xml:space="preserve">Continued Salty or International margin underperformance.</w:t>
      </w:r>
    </w:p>
    <w:p>
      <w:r>
        <w:pict>
          <v:rect style="width:0;height:1.5pt" o:hralign="center" o:hrstd="t" o:hr="t"/>
        </w:pict>
      </w:r>
    </w:p>
    <w:bookmarkEnd w:id="21"/>
    <w:bookmarkEnd w:id="22"/>
    <w:bookmarkStart w:id="23" w:name="bottom-line"/>
    <w:p>
      <w:pPr>
        <w:pStyle w:val="Heading2"/>
      </w:pPr>
      <w:r>
        <w:t xml:space="preserve">Bottom line</w:t>
      </w:r>
    </w:p>
    <w:p>
      <w:pPr>
        <w:pStyle w:val="FirstParagraph"/>
      </w:pPr>
      <w:r>
        <w:t xml:space="preserve">This quarter is less about beating a single sales number and more about</w:t>
      </w:r>
      <w:r>
        <w:t xml:space="preserve"> </w:t>
      </w:r>
      <w:r>
        <w:rPr>
          <w:b/>
          <w:bCs/>
        </w:rPr>
        <w:t xml:space="preserve">validating the shape of the recovery</w:t>
      </w:r>
      <w:r>
        <w:t xml:space="preserve">. Investors should expect a mechanically soft 2Q top line in North America Confectionery due to shipment timing. The more decision-useful measures are: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Underlying consumption and elasticity;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Gross-margin delivery versus the nearly +300 bps target;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Confidence in the &gt;500 bps second-half gross-margin inflection;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Progress in Salty Snacks profitability;</w:t>
      </w:r>
      <w:r>
        <w:t xml:space="preserve"> </w:t>
      </w:r>
      <w:r>
        <w:t xml:space="preserve">and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Whether Hershey moves from reaffirming to raising its 2026 outlook.</w:t>
      </w:r>
    </w:p>
    <w:p>
      <w:pPr>
        <w:pStyle w:val="FirstParagraph"/>
      </w:pPr>
      <w:r>
        <w:t xml:space="preserve">A clean print would support the view that 2026 is a margin-recovery year and that the company can transition toward its stated 2027 earnings recovery and longer-term</w:t>
      </w:r>
      <w:r>
        <w:t xml:space="preserve"> </w:t>
      </w:r>
      <w:r>
        <w:rPr>
          <w:b/>
          <w:bCs/>
        </w:rPr>
        <w:t xml:space="preserve">2%–4% organic growth / 6%–8% EPS growth</w:t>
      </w:r>
      <w:r>
        <w:t xml:space="preserve"> </w:t>
      </w:r>
      <w:r>
        <w:t xml:space="preserve">framework. Conversely, weak demand indicators or a margin-cadence miss would challenge the premise that Hershey can retain pricing while restoring volumes and reinvesting behind its brands.</w:t>
      </w:r>
    </w:p>
    <w:bookmarkEnd w:id="23"/>
    <w:bookmarkEnd w:id="2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2026-07-29T18:12:35Z</dcterms:created>
  <dcterms:modified xsi:type="dcterms:W3CDTF">2026-07-29T18:12:35Z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