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hubb-earnings-predictions--2026-07-28"/>
    <w:p>
      <w:pPr>
        <w:pStyle w:val="Heading1"/>
      </w:pPr>
      <w:r>
        <w:t xml:space="preserve">HUBB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5.55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5.42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 (Q2'26)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1.69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1.67B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operating margin (Q2'26)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~24.2% vs. cons ~24.5%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19.55</m:t>
              </m:r>
              <m:r>
                <m:rPr>
                  <m:sty m:val="p"/>
                </m:rPr>
                <m:t>−</m:t>
              </m:r>
            </m:oMath>
            <w:r>
              <w:t xml:space="preserve">19.95 (mid ~</w:t>
            </w:r>
            <m:oMath>
              <m:r>
                <m:t>19.75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19.65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organic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~6-9% vs. cons ~7%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data center growth outlook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&gt;25% vs. cons ~25%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Grid Automation/Aclara y/y trajectory (Q2'26)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~flat-to-slightly positive vs. cons ~+1% (Q2'26, vs -7% in Q1'26)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HUBB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+1.5% (STABILIZE)</w:t>
            </w:r>
          </w:p>
        </w:tc>
        <w:tc>
          <w:tcPr/>
          <w:p>
            <w:pPr>
              <w:pStyle w:val="Compact"/>
            </w:pPr>
            <w:r>
              <w:t xml:space="preserve">Expect a clean beat plus a modest guidance raise (likely raising the low end) to spark a positive day-1 residual of ~+2.5%. Over the next 5 days the pop partially gives back: with H1 tracking mid-to-high-40s% of the FY and only an incremental raise, the out-period math implies a tough, price/cost-dilutive H2 comp against the FIFO-aided Q2'25 base, so back-half implied EPS looks conservative rather than upgraded. Continued Grid Automation softness or optically soft Electrical/consolidated margins caps follow-through. Net: initial gain holds but drifts, leaving ~+1.5% cumulative residual (stabilize, not full fade, given durable T&amp;D/data-center demand and HUBB's beat-and-raise track record).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2026-07-28T00:40:58Z</dcterms:created>
  <dcterms:modified xsi:type="dcterms:W3CDTF">2026-07-28T00:40:58Z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