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HUBB (Hubbell Incorporated) before writing the preview. Let me gather recent earnings materials, guidance, and news.The most recent report is 2026Q1 (reported April 30, 2026). Let me read the latest transcript, release, and the year-ago Q2 for comparison.Now let me get the year-ago Q2 2025 results for the comp, recent stock price, and any recent news/estimates.Let me check recent news and analyst estimates for Q2 2026 to round out the preview.# Hubbell Incorporated (HUBB) — Q2 2026 Earnings Preview</w:t>
      </w:r>
    </w:p>
    <w:bookmarkStart w:id="9" w:name="Xedc70fbd1770b1c5742170753d1feff41b0f8b5"/>
    <w:p>
      <w:pPr>
        <w:pStyle w:val="Heading3"/>
      </w:pPr>
      <w:r>
        <w:t xml:space="preserve">Reports before market open, Tuesday, July 28, 2026 | Conference call 10:00 a.m. ET</w:t>
      </w:r>
    </w:p>
    <w:p>
      <w:r>
        <w:pict>
          <v:rect style="width:0;height:1.5pt" o:hralign="center" o:hrstd="t" o:hr="t"/>
        </w:pict>
      </w:r>
    </w:p>
    <w:bookmarkEnd w:id="9"/>
    <w:bookmarkStart w:id="10" w:name="snapshot-going-in"/>
    <w:p>
      <w:pPr>
        <w:pStyle w:val="Heading2"/>
      </w:pPr>
      <w:r>
        <w:t xml:space="preserve">Snapshot going in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t xml:space="preserve">Stock (7/27/26 close)</w:t>
            </w:r>
          </w:p>
        </w:tc>
        <w:tc>
          <w:tcPr/>
          <w:p>
            <w:pPr>
              <w:pStyle w:val="Compact"/>
            </w:pPr>
            <w:r>
              <w:t xml:space="preserve">~$498</w:t>
            </w:r>
          </w:p>
        </w:tc>
      </w:tr>
      <w:tr>
        <w:tc>
          <w:tcPr/>
          <w:p>
            <w:pPr>
              <w:pStyle w:val="Compact"/>
            </w:pPr>
            <w:r>
              <w:t xml:space="preserve">Market cap</w:t>
            </w:r>
          </w:p>
        </w:tc>
        <w:tc>
          <w:tcPr/>
          <w:p>
            <w:pPr>
              <w:pStyle w:val="Compact"/>
            </w:pPr>
            <w:r>
              <w:t xml:space="preserve">~$27B</w:t>
            </w:r>
          </w:p>
        </w:tc>
      </w:tr>
      <w:tr>
        <w:tc>
          <w:tcPr/>
          <w:p>
            <w:pPr>
              <w:pStyle w:val="Compact"/>
            </w:pPr>
            <w:r>
              <w:t xml:space="preserve">YTD performance</w:t>
            </w:r>
          </w:p>
        </w:tc>
        <w:tc>
          <w:tcPr/>
          <w:p>
            <w:pPr>
              <w:pStyle w:val="Compact"/>
            </w:pPr>
            <w:r>
              <w:t xml:space="preserve">~+7-8% (started the year ~</w:t>
            </w:r>
            <m:oMath>
              <m:r>
                <m:t>463</m:t>
              </m:r>
              <m:r>
                <m:rPr>
                  <m:sty m:val="p"/>
                </m:rPr>
                <m:t>;</m:t>
              </m:r>
              <m:r>
                <m:t>p</m:t>
              </m:r>
              <m:r>
                <m:t>e</m:t>
              </m:r>
              <m:r>
                <m:t>a</m:t>
              </m:r>
              <m:r>
                <m:t>k</m:t>
              </m:r>
              <m:r>
                <m:t>e</m:t>
              </m:r>
              <m:r>
                <m:t>d</m:t>
              </m:r>
              <m:r>
                <m:t> </m:t>
              </m:r>
            </m:oMath>
            <w:r>
              <w:t xml:space="preserve">558 in late April, then pulled back)</w:t>
            </w:r>
          </w:p>
        </w:tc>
      </w:tr>
      <w:tr>
        <w:tc>
          <w:tcPr/>
          <w:p>
            <w:pPr>
              <w:pStyle w:val="Compact"/>
            </w:pPr>
            <w:r>
              <w:t xml:space="preserve">Consensus Q2'26 adj. EPS</w:t>
            </w:r>
          </w:p>
        </w:tc>
        <w:tc>
          <w:tcPr/>
          <w:p>
            <w:pPr>
              <w:pStyle w:val="Compact"/>
            </w:pPr>
            <w:r>
              <w:t xml:space="preserve">~</w:t>
            </w:r>
            <m:oMath>
              <m:r>
                <m:t>5.32</m:t>
              </m:r>
              <m:r>
                <m:rPr>
                  <m:sty m:val="p"/>
                </m:rPr>
                <m:t>–</m:t>
              </m:r>
            </m:oMath>
            <w:r>
              <w:t xml:space="preserve">5.53 (Yahoo/Zacks ~</w:t>
            </w:r>
            <m:oMath>
              <m:r>
                <m:t>5.32</m:t>
              </m:r>
              <m:r>
                <m:rPr>
                  <m:sty m:val="p"/>
                </m:rPr>
                <m:t>;</m:t>
              </m:r>
              <m:r>
                <m:t>C</m:t>
              </m:r>
              <m:r>
                <m:t>h</m:t>
              </m:r>
              <m:r>
                <m:t>a</m:t>
              </m:r>
              <m:r>
                <m:t>r</m:t>
              </m:r>
              <m:r>
                <m:t>t</m:t>
              </m:r>
              <m:r>
                <m:t>M</m:t>
              </m:r>
              <m:r>
                <m:t>i</m:t>
              </m:r>
              <m:r>
                <m:t>l</m:t>
              </m:r>
              <m:r>
                <m:t>l</m:t>
              </m:r>
              <m:r>
                <m:t> </m:t>
              </m:r>
            </m:oMath>
            <w:r>
              <w:t xml:space="preserve">5.53)</w:t>
            </w:r>
          </w:p>
        </w:tc>
      </w:tr>
      <w:tr>
        <w:tc>
          <w:tcPr/>
          <w:p>
            <w:pPr>
              <w:pStyle w:val="Compact"/>
            </w:pPr>
            <w:r>
              <w:t xml:space="preserve">Consensus Q2'26 revenue</w:t>
            </w:r>
          </w:p>
        </w:tc>
        <w:tc>
          <w:tcPr/>
          <w:p>
            <w:pPr>
              <w:pStyle w:val="Compact"/>
            </w:pPr>
            <w:r>
              <w:t xml:space="preserve">~</w:t>
            </w:r>
            <m:oMath>
              <m:r>
                <m:t>1.66</m:t>
              </m:r>
              <m:r>
                <m:rPr>
                  <m:sty m:val="p"/>
                </m:rPr>
                <m:t>–</m:t>
              </m:r>
            </m:oMath>
            <w:r>
              <w:t xml:space="preserve">1.67B (≈+12% y/y)</w:t>
            </w:r>
          </w:p>
        </w:tc>
      </w:tr>
      <w:tr>
        <w:tc>
          <w:tcPr/>
          <w:p>
            <w:pPr>
              <w:pStyle w:val="Compact"/>
            </w:pPr>
            <w:r>
              <w:t xml:space="preserve">Year-ago Q2'25 base</w:t>
            </w:r>
          </w:p>
        </w:tc>
        <w:tc>
          <w:tcPr/>
          <w:p>
            <w:pPr>
              <w:pStyle w:val="Compact"/>
            </w:pPr>
            <w:r>
              <w:t xml:space="preserve">Sales $1,484M; adj. EPS $4.93; adj. op margin 24.4%</w:t>
            </w:r>
          </w:p>
        </w:tc>
      </w:tr>
      <w:tr>
        <w:tc>
          <w:tcPr/>
          <w:p>
            <w:pPr>
              <w:pStyle w:val="Compact"/>
            </w:pPr>
            <w:r>
              <w:t xml:space="preserve">EPS surprise track record</w:t>
            </w:r>
          </w:p>
        </w:tc>
        <w:tc>
          <w:tcPr/>
          <w:p>
            <w:pPr>
              <w:pStyle w:val="Compact"/>
            </w:pPr>
            <w:r>
              <w:t xml:space="preserve">Beat consensus in each of the last 4 quarters</w:t>
            </w:r>
          </w:p>
        </w:tc>
      </w:tr>
    </w:tbl>
    <w:p>
      <w:pPr>
        <w:pStyle w:val="BodyText"/>
      </w:pPr>
      <w:r>
        <w:t xml:space="preserve">The setup: HUBB is coming off a strong Q1 in which it beat and</w:t>
      </w:r>
      <w:r>
        <w:t xml:space="preserve"> </w:t>
      </w:r>
      <w:r>
        <w:rPr>
          <w:b/>
          <w:bCs/>
        </w:rPr>
        <w:t xml:space="preserve">raised full-year guidance</w:t>
      </w:r>
      <w:r>
        <w:t xml:space="preserve">, and management gave fairly specific Q2 framing on the last call. The stock has round-tripped from its April post-earnings highs and sits near flat-to-modestly-up on the year, so expectations are constructive but not euphoric.</w:t>
      </w:r>
    </w:p>
    <w:p>
      <w:r>
        <w:pict>
          <v:rect style="width:0;height:1.5pt" o:hralign="center" o:hrstd="t" o:hr="t"/>
        </w:pict>
      </w:r>
    </w:p>
    <w:bookmarkEnd w:id="10"/>
    <w:bookmarkStart w:id="11" w:name="X7286bbf06322c9a573e772c9c063d636eeddd98"/>
    <w:p>
      <w:pPr>
        <w:pStyle w:val="Heading2"/>
      </w:pPr>
      <w:r>
        <w:t xml:space="preserve">1. What consensus is looking for</w:t>
      </w:r>
    </w:p>
    <w:p>
      <w:pPr>
        <w:pStyle w:val="FirstParagraph"/>
      </w:pPr>
      <w:r>
        <w:t xml:space="preserve">Analysts expect roughly</w:t>
      </w:r>
      <w:r>
        <w:t xml:space="preserve"> </w:t>
      </w:r>
      <m:oMath>
        <m:r>
          <m:t>5.32</m:t>
        </m:r>
        <m:r>
          <m:rPr>
            <m:sty m:val="p"/>
          </m:rPr>
          <m:t>–</m:t>
        </m:r>
      </m:oMath>
      <w:r>
        <w:rPr>
          <w:b/>
          <w:bCs/>
        </w:rPr>
        <w:t xml:space="preserve">5.53 in adjusted EPS</w:t>
      </w:r>
      <w:r>
        <w:t xml:space="preserve"> </w:t>
      </w:r>
      <w:r>
        <w:t xml:space="preserve">(up ~8-12% from the</w:t>
      </w:r>
      <w:r>
        <w:t xml:space="preserve"> </w:t>
      </w:r>
      <m:oMath>
        <m:r>
          <m:t>4.93</m:t>
        </m:r>
        <m:r>
          <m:t>p</m:t>
        </m:r>
        <m:r>
          <m:t>o</m:t>
        </m:r>
        <m:r>
          <m:t>s</m:t>
        </m:r>
        <m:r>
          <m:t>t</m:t>
        </m:r>
        <m:r>
          <m:t>e</m:t>
        </m:r>
        <m:r>
          <m:t>d</m:t>
        </m:r>
        <m:r>
          <m:t>a</m:t>
        </m:r>
        <m:r>
          <m:t>y</m:t>
        </m:r>
        <m:r>
          <m:t>e</m:t>
        </m:r>
        <m:r>
          <m:t>a</m:t>
        </m:r>
        <m:r>
          <m:t>r</m:t>
        </m:r>
        <m:r>
          <m:t>a</m:t>
        </m:r>
        <m:r>
          <m:t>g</m:t>
        </m:r>
        <m:r>
          <m:t>o</m:t>
        </m:r>
        <m:r>
          <m:rPr>
            <m:sty m:val="p"/>
          </m:rPr>
          <m:t>)</m:t>
        </m:r>
        <m:r>
          <m:t>o</m:t>
        </m:r>
        <m:r>
          <m:t>n</m:t>
        </m:r>
        <m:r>
          <m:rPr>
            <m:sty m:val="p"/>
          </m:rPr>
          <m:t>*</m:t>
        </m:r>
        <m:r>
          <m:rPr>
            <m:sty m:val="p"/>
          </m:rPr>
          <m:t>*</m:t>
        </m:r>
        <m:r>
          <m:t> </m:t>
        </m:r>
      </m:oMath>
      <w:r>
        <w:t xml:space="preserve">1.67B of revenue (~+12% y/y)**. On the Q1 call, CFO Joe Capozzoli implicitly pointed to a</w:t>
      </w:r>
      <w:r>
        <w:t xml:space="preserve"> </w:t>
      </w:r>
      <w:r>
        <w:rPr>
          <w:b/>
          <w:bCs/>
        </w:rPr>
        <w:t xml:space="preserve">~$5.20 Q2</w:t>
      </w:r>
      <w:r>
        <w:t xml:space="preserve"> </w:t>
      </w:r>
      <w:r>
        <w:t xml:space="preserve">via commentary that the first half represents "mid-to-high 40s" percent of full-year earnings, with a normal seasonal sequential step-up,</w:t>
      </w:r>
      <w:r>
        <w:t xml:space="preserve"> </w:t>
      </w:r>
      <w:r>
        <w:rPr>
          <w:b/>
          <w:bCs/>
        </w:rPr>
        <w:t xml:space="preserve">high-single-digit organic growth</w:t>
      </w:r>
      <w:r>
        <w:t xml:space="preserve">, and price/cost/productivity roughly</w:t>
      </w:r>
      <w:r>
        <w:t xml:space="preserve"> </w:t>
      </w:r>
      <w:r>
        <w:rPr>
          <w:b/>
          <w:bCs/>
        </w:rPr>
        <w:t xml:space="preserve">neutral on a dollar basis</w:t>
      </w:r>
      <w:r>
        <w:t xml:space="preserve"> </w:t>
      </w:r>
      <w:r>
        <w:t xml:space="preserve">in Q2. So the Street is sitting a touch above management's earlier implied number — consistent with HUBB's habit of setting a beatable bar.</w:t>
      </w:r>
    </w:p>
    <w:p>
      <w:pPr>
        <w:pStyle w:val="BodyText"/>
      </w:pPr>
      <w:r>
        <w:rPr>
          <w:b/>
          <w:bCs/>
        </w:rPr>
        <w:t xml:space="preserve">Key nuance on the comp:</w:t>
      </w:r>
      <w:r>
        <w:t xml:space="preserve"> </w:t>
      </w:r>
      <w:r>
        <w:t xml:space="preserve">Q2'25 was an unusually strong margin quarter (24.4% adjusted operating margin, +120 bps y/y) and was the quarter HUBB transitioned from LIFO to FIFO inventory accounting — which cut Q2'25 COGS by</w:t>
      </w:r>
      <w:r>
        <w:t xml:space="preserve"> </w:t>
      </w:r>
      <m:oMath>
        <m:r>
          <m:t>29</m:t>
        </m:r>
        <m:r>
          <m:t>M</m:t>
        </m:r>
        <m:r>
          <m:rPr>
            <m:sty m:val="p"/>
          </m:rPr>
          <m:t>(</m:t>
        </m:r>
        <m:r>
          <m:t> </m:t>
        </m:r>
      </m:oMath>
      <w:r>
        <w:t xml:space="preserve">0.42/share). Management has flagged that</w:t>
      </w:r>
      <w:r>
        <w:t xml:space="preserve"> </w:t>
      </w:r>
      <w:r>
        <w:rPr>
          <w:b/>
          <w:bCs/>
        </w:rPr>
        <w:t xml:space="preserve">Electrical Solutions faces a tough year-over-year margin comp in the first half</w:t>
      </w:r>
      <w:r>
        <w:t xml:space="preserve"> </w:t>
      </w:r>
      <w:r>
        <w:t xml:space="preserve">against that strong Q2'25. Watch whether headline margin optics look soft purely because of the base.</w:t>
      </w:r>
    </w:p>
    <w:p>
      <w:r>
        <w:pict>
          <v:rect style="width:0;height:1.5pt" o:hralign="center" o:hrstd="t" o:hr="t"/>
        </w:pict>
      </w:r>
    </w:p>
    <w:bookmarkEnd w:id="11"/>
    <w:bookmarkStart w:id="12" w:name="X0c71ca80caa08bbbfbe1ad466c19cbf8592ca89"/>
    <w:p>
      <w:pPr>
        <w:pStyle w:val="Heading2"/>
      </w:pPr>
      <w:r>
        <w:t xml:space="preserve">2. Utility Solutions — the profit engine; watch the two sub-segments diverge</w:t>
      </w:r>
    </w:p>
    <w:p>
      <w:pPr>
        <w:pStyle w:val="FirstParagraph"/>
      </w:pPr>
      <w:r>
        <w:t xml:space="preserve">Utility is the larger, higher-margin segment and the crux of the story. It splits into two very different narratives:</w:t>
      </w:r>
    </w:p>
    <w:p>
      <w:pPr>
        <w:pStyle w:val="BodyText"/>
      </w:pPr>
      <w:r>
        <w:rPr>
          <w:b/>
          <w:bCs/>
        </w:rPr>
        <w:t xml:space="preserve">Grid Infrastructure (the good):</w:t>
      </w:r>
      <w:r>
        <w:t xml:space="preserve"> </w:t>
      </w:r>
      <w:r>
        <w:t xml:space="preserve">In Q1'26 grid infrastructure grew</w:t>
      </w:r>
      <w:r>
        <w:t xml:space="preserve"> </w:t>
      </w:r>
      <w:r>
        <w:rPr>
          <w:b/>
          <w:bCs/>
        </w:rPr>
        <w:t xml:space="preserve">~18% reported / +12% organic</w:t>
      </w:r>
      <w:r>
        <w:t xml:space="preserve">, with broad-based T&amp;D strength. Management raised full-year Utility to</w:t>
      </w:r>
      <w:r>
        <w:t xml:space="preserve"> </w:t>
      </w:r>
      <w:r>
        <w:rPr>
          <w:b/>
          <w:bCs/>
        </w:rPr>
        <w:t xml:space="preserve">high-single-digit organic</w:t>
      </w:r>
      <w:r>
        <w:t xml:space="preserve"> </w:t>
      </w:r>
      <w:r>
        <w:t xml:space="preserve">and guided grid infrastructure to</w:t>
      </w:r>
      <w:r>
        <w:t xml:space="preserve"> </w:t>
      </w:r>
      <w:r>
        <w:rPr>
          <w:b/>
          <w:bCs/>
        </w:rPr>
        <w:t xml:space="preserve">mid-to-high-single-digit organic ratably across all four quarters</w:t>
      </w:r>
      <w:r>
        <w:t xml:space="preserve">. Drivers are durable: load growth from data centers/electrification powering transmission &amp; substation demand, plus aging-infrastructure/resiliency spend on distribution. Q1 orders were running</w:t>
      </w:r>
      <w:r>
        <w:t xml:space="preserve"> </w:t>
      </w:r>
      <w:r>
        <w:rPr>
          <w:b/>
          <w:bCs/>
        </w:rPr>
        <w:t xml:space="preserve">~1.2 book-to-bill</w:t>
      </w:r>
      <w:r>
        <w:t xml:space="preserve"> </w:t>
      </w:r>
      <w:r>
        <w:t xml:space="preserve">(above the normal seasonal ~1.0+).</w:t>
      </w:r>
    </w:p>
    <w:p>
      <w:pPr>
        <w:pStyle w:val="BodyText"/>
      </w:pPr>
      <w:r>
        <w:rPr>
          <w:b/>
          <w:bCs/>
        </w:rPr>
        <w:t xml:space="preserve">Grid Automation (the drag that's supposed to inflect):</w:t>
      </w:r>
      <w:r>
        <w:t xml:space="preserve"> </w:t>
      </w:r>
      <w:r>
        <w:t xml:space="preserve">This includes Aclara meters/AMI. It fell</w:t>
      </w:r>
      <w:r>
        <w:t xml:space="preserve"> </w:t>
      </w:r>
      <w:r>
        <w:rPr>
          <w:b/>
          <w:bCs/>
        </w:rPr>
        <w:t xml:space="preserve">~7% in Q1'26</w:t>
      </w:r>
      <w:r>
        <w:t xml:space="preserve">, but management said it should</w:t>
      </w:r>
      <w:r>
        <w:t xml:space="preserve"> </w:t>
      </w:r>
      <w:r>
        <w:rPr>
          <w:b/>
          <w:bCs/>
        </w:rPr>
        <w:t xml:space="preserve">return to slight year-over-year growth in Q2</w:t>
      </w:r>
      <w:r>
        <w:t xml:space="preserve"> </w:t>
      </w:r>
      <w:r>
        <w:t xml:space="preserve">on easing comps and strength in protection &amp; controls.</w:t>
      </w:r>
      <w:r>
        <w:t xml:space="preserve"> </w:t>
      </w:r>
      <w:r>
        <w:rPr>
          <w:b/>
          <w:bCs/>
        </w:rPr>
        <w:t xml:space="preserve">This is a key "prove-it" item</w:t>
      </w:r>
      <w:r>
        <w:t xml:space="preserve"> </w:t>
      </w:r>
      <w:r>
        <w:t xml:space="preserve">— an inflection here removes a multi-quarter headwind and would be a positive surprise; a continued decline would raise questions about the AMI 2.0 cycle timing.</w:t>
      </w:r>
    </w:p>
    <w:p>
      <w:pPr>
        <w:pStyle w:val="BodyText"/>
      </w:pPr>
      <w:r>
        <w:t xml:space="preserve">Also watch the</w:t>
      </w:r>
      <w:r>
        <w:t xml:space="preserve"> </w:t>
      </w:r>
      <w:r>
        <w:rPr>
          <w:b/>
          <w:bCs/>
        </w:rPr>
        <w:t xml:space="preserve">acquisition contribution</w:t>
      </w:r>
      <w:r>
        <w:t xml:space="preserve"> </w:t>
      </w:r>
      <w:r>
        <w:t xml:space="preserve">— DMC Power and Systems Control are both in the high-demand substation/T&amp;D space; management said DMC is "meeting and even exceeding" expectations, with capacity (not demand) the constraint.</w:t>
      </w:r>
    </w:p>
    <w:p>
      <w:r>
        <w:pict>
          <v:rect style="width:0;height:1.5pt" o:hralign="center" o:hrstd="t" o:hr="t"/>
        </w:pict>
      </w:r>
    </w:p>
    <w:bookmarkEnd w:id="12"/>
    <w:bookmarkStart w:id="13" w:name="X2af83582109fb2e6ca12cf4e22924faaf8121be"/>
    <w:p>
      <w:pPr>
        <w:pStyle w:val="Heading2"/>
      </w:pPr>
      <w:r>
        <w:t xml:space="preserve">3. Electrical Solutions — data center momentum vs. a tough margin comp</w:t>
      </w:r>
    </w:p>
    <w:p>
      <w:pPr>
        <w:pStyle w:val="FirstParagraph"/>
      </w:pPr>
      <w:r>
        <w:t xml:space="preserve">Q1'26 Electrical organic growth was</w:t>
      </w:r>
      <w:r>
        <w:t xml:space="preserve"> </w:t>
      </w:r>
      <w:r>
        <w:rPr>
          <w:b/>
          <w:bCs/>
        </w:rPr>
        <w:t xml:space="preserve">+11%</w:t>
      </w:r>
      <w:r>
        <w:t xml:space="preserve">, led by</w:t>
      </w:r>
      <w:r>
        <w:t xml:space="preserve"> </w:t>
      </w:r>
      <w:r>
        <w:rPr>
          <w:b/>
          <w:bCs/>
        </w:rPr>
        <w:t xml:space="preserve">~40% growth in data center</w:t>
      </w:r>
      <w:r>
        <w:t xml:space="preserve"> </w:t>
      </w:r>
      <w:r>
        <w:t xml:space="preserve">(both balance-of-system components and modular power skids). Management raised the</w:t>
      </w:r>
      <w:r>
        <w:t xml:space="preserve"> </w:t>
      </w:r>
      <w:r>
        <w:rPr>
          <w:b/>
          <w:bCs/>
        </w:rPr>
        <w:t xml:space="preserve">full-year data center outlook to &gt;25%</w:t>
      </w:r>
      <w:r>
        <w:t xml:space="preserve"> </w:t>
      </w:r>
      <w:r>
        <w:t xml:space="preserve">(from ~15%). Watch for:</w:t>
      </w:r>
    </w:p>
    <w:p>
      <w:pPr>
        <w:pStyle w:val="Compact"/>
        <w:numPr>
          <w:ilvl w:val="0"/>
          <w:numId w:val="1001"/>
        </w:numPr>
      </w:pPr>
      <w:r>
        <w:rPr>
          <w:b/>
          <w:bCs/>
        </w:rPr>
        <w:t xml:space="preserve">Data center order/booking commentary</w:t>
      </w:r>
      <w:r>
        <w:t xml:space="preserve"> </w:t>
      </w:r>
      <w:r>
        <w:t xml:space="preserve">— is the short-cycle book-and-bill piece still accelerating, and is capacity keeping up?</w:t>
      </w:r>
    </w:p>
    <w:p>
      <w:pPr>
        <w:pStyle w:val="Compact"/>
        <w:numPr>
          <w:ilvl w:val="0"/>
          <w:numId w:val="1001"/>
        </w:numPr>
      </w:pPr>
      <w:r>
        <w:rPr>
          <w:b/>
          <w:bCs/>
        </w:rPr>
        <w:t xml:space="preserve">Light industrial/non-resi</w:t>
      </w:r>
      <w:r>
        <w:t xml:space="preserve"> </w:t>
      </w:r>
      <w:r>
        <w:t xml:space="preserve">holding up vs.</w:t>
      </w:r>
      <w:r>
        <w:t xml:space="preserve"> </w:t>
      </w:r>
      <w:r>
        <w:rPr>
          <w:b/>
          <w:bCs/>
        </w:rPr>
        <w:t xml:space="preserve">soft heavy industrial</w:t>
      </w:r>
      <w:r>
        <w:t xml:space="preserve">.</w:t>
      </w:r>
    </w:p>
    <w:p>
      <w:pPr>
        <w:pStyle w:val="Compact"/>
        <w:numPr>
          <w:ilvl w:val="0"/>
          <w:numId w:val="1001"/>
        </w:numPr>
      </w:pPr>
      <w:r>
        <w:rPr>
          <w:b/>
          <w:bCs/>
        </w:rPr>
        <w:t xml:space="preserve">Margins:</w:t>
      </w:r>
      <w:r>
        <w:t xml:space="preserve"> </w:t>
      </w:r>
      <w:r>
        <w:t xml:space="preserve">Q1 Electrical adjusted margin dipped 30 bps y/y on restructuring/growth investment; management guided Electrical to a</w:t>
      </w:r>
      <w:r>
        <w:t xml:space="preserve"> </w:t>
      </w:r>
      <w:r>
        <w:rPr>
          <w:b/>
          <w:bCs/>
        </w:rPr>
        <w:t xml:space="preserve">first-half margin headwind, normalizing to roughly flat for the full year</w:t>
      </w:r>
      <w:r>
        <w:t xml:space="preserve">. Don't over-read a soft Q2 Electrical margin print.</w:t>
      </w:r>
    </w:p>
    <w:p>
      <w:r>
        <w:pict>
          <v:rect style="width:0;height:1.5pt" o:hralign="center" o:hrstd="t" o:hr="t"/>
        </w:pict>
      </w:r>
    </w:p>
    <w:bookmarkEnd w:id="13"/>
    <w:bookmarkStart w:id="14" w:name="X49ec9f8578fc8cebf31e6937f9c7beaa176a79d"/>
    <w:p>
      <w:pPr>
        <w:pStyle w:val="Heading2"/>
      </w:pPr>
      <w:r>
        <w:t xml:space="preserve">4. Price/cost, tariffs, and margins — the swing factor</w:t>
      </w:r>
    </w:p>
    <w:p>
      <w:pPr>
        <w:pStyle w:val="FirstParagraph"/>
      </w:pPr>
      <w:r>
        <w:t xml:space="preserve">This is where the quarter can be made or broken:</w:t>
      </w:r>
    </w:p>
    <w:p>
      <w:pPr>
        <w:pStyle w:val="Compact"/>
        <w:numPr>
          <w:ilvl w:val="0"/>
          <w:numId w:val="1002"/>
        </w:numPr>
      </w:pPr>
      <w:r>
        <w:t xml:space="preserve">HUBB</w:t>
      </w:r>
      <w:r>
        <w:t xml:space="preserve"> </w:t>
      </w:r>
      <w:r>
        <w:rPr>
          <w:b/>
          <w:bCs/>
        </w:rPr>
        <w:t xml:space="preserve">raised full-year organic guidance to 6-9%</w:t>
      </w:r>
      <w:r>
        <w:t xml:space="preserve">, adding ~1 point of price (now **~3 points price**, rest volume) after metals inflation (copper, aluminum, steel) accelerated. Price increases went in</w:t>
      </w:r>
      <w:r>
        <w:t xml:space="preserve"> </w:t>
      </w:r>
      <w:r>
        <w:rPr>
          <w:b/>
          <w:bCs/>
        </w:rPr>
        <w:t xml:space="preserve">at the start of Q2</w:t>
      </w:r>
      <w:r>
        <w:t xml:space="preserve"> </w:t>
      </w:r>
      <w:r>
        <w:t xml:space="preserve">and take 30–60 days to fully realize — so</w:t>
      </w:r>
      <w:r>
        <w:t xml:space="preserve"> </w:t>
      </w:r>
      <w:r>
        <w:rPr>
          <w:b/>
          <w:bCs/>
        </w:rPr>
        <w:t xml:space="preserve">Q2 is the first quarter that fully reflects the new pricing</w:t>
      </w:r>
      <w:r>
        <w:t xml:space="preserve">.</w:t>
      </w:r>
    </w:p>
    <w:p>
      <w:pPr>
        <w:pStyle w:val="Compact"/>
        <w:numPr>
          <w:ilvl w:val="0"/>
          <w:numId w:val="1002"/>
        </w:numPr>
      </w:pPr>
      <w:r>
        <w:t xml:space="preserve">Management expects price/cost/productivity</w:t>
      </w:r>
      <w:r>
        <w:t xml:space="preserve"> </w:t>
      </w:r>
      <w:r>
        <w:rPr>
          <w:b/>
          <w:bCs/>
        </w:rPr>
        <w:t xml:space="preserve">neutral or better on a dollar basis</w:t>
      </w:r>
      <w:r>
        <w:t xml:space="preserve">, but flagged this is</w:t>
      </w:r>
      <w:r>
        <w:t xml:space="preserve"> </w:t>
      </w:r>
      <w:r>
        <w:rPr>
          <w:b/>
          <w:bCs/>
        </w:rPr>
        <w:t xml:space="preserve">margin-dilutive</w:t>
      </w:r>
      <w:r>
        <w:t xml:space="preserve"> </w:t>
      </w:r>
      <w:r>
        <w:t xml:space="preserve">(they baked in ~1 point of price/cost dilution within the full-year +20 bps margin expansion guide).</w:t>
      </w:r>
    </w:p>
    <w:p>
      <w:pPr>
        <w:pStyle w:val="Compact"/>
        <w:numPr>
          <w:ilvl w:val="0"/>
          <w:numId w:val="1002"/>
        </w:numPr>
      </w:pPr>
      <w:r>
        <w:t xml:space="preserve">On tariffs: the net of Section 232 changes, IEEPA repeal, and Section 122 was characterized as</w:t>
      </w:r>
      <w:r>
        <w:t xml:space="preserve"> </w:t>
      </w:r>
      <w:r>
        <w:rPr>
          <w:b/>
          <w:bCs/>
        </w:rPr>
        <w:t xml:space="preserve">"about neutral"</w:t>
      </w:r>
      <w:r>
        <w:t xml:space="preserve"> </w:t>
      </w:r>
      <w:r>
        <w:t xml:space="preserve">to HUBB's cost structure. Any change in that assessment is worth noting.</w:t>
      </w:r>
    </w:p>
    <w:p>
      <w:pPr>
        <w:pStyle w:val="Compact"/>
        <w:numPr>
          <w:ilvl w:val="0"/>
          <w:numId w:val="1002"/>
        </w:numPr>
      </w:pPr>
      <w:r>
        <w:rPr>
          <w:b/>
          <w:bCs/>
        </w:rPr>
        <w:t xml:space="preserve">Watch:</w:t>
      </w:r>
      <w:r>
        <w:t xml:space="preserve"> </w:t>
      </w:r>
      <w:r>
        <w:t xml:space="preserve">whether price is still "sticking" with constructive channel conversations, and whether the y/y price contribution is fading as expected (2Q/3Q wraps around last year's actions), with volume picking up the slack.</w:t>
      </w:r>
    </w:p>
    <w:p>
      <w:r>
        <w:pict>
          <v:rect style="width:0;height:1.5pt" o:hralign="center" o:hrstd="t" o:hr="t"/>
        </w:pict>
      </w:r>
    </w:p>
    <w:bookmarkEnd w:id="14"/>
    <w:bookmarkStart w:id="15" w:name="Xa252fd09a7a53c1e77a3fab995ecad53427de31"/>
    <w:p>
      <w:pPr>
        <w:pStyle w:val="Heading2"/>
      </w:pPr>
      <w:r>
        <w:t xml:space="preserve">5. Full-year guidance — will they raise again?</w:t>
      </w:r>
    </w:p>
    <w:p>
      <w:pPr>
        <w:pStyle w:val="FirstParagraph"/>
      </w:pPr>
      <w:r>
        <w:t xml:space="preserve">Current FY2026 framework (raised at Q1):</w:t>
      </w:r>
    </w:p>
    <w:p>
      <w:pPr>
        <w:pStyle w:val="Compact"/>
        <w:numPr>
          <w:ilvl w:val="0"/>
          <w:numId w:val="1003"/>
        </w:numPr>
      </w:pPr>
      <w:r>
        <w:t xml:space="preserve">Total sales</w:t>
      </w:r>
      <w:r>
        <w:t xml:space="preserve"> </w:t>
      </w:r>
      <w:r>
        <w:rPr>
          <w:b/>
          <w:bCs/>
        </w:rPr>
        <w:t xml:space="preserve">+8-11%</w:t>
      </w:r>
      <w:r>
        <w:t xml:space="preserve">; organic</w:t>
      </w:r>
      <w:r>
        <w:t xml:space="preserve"> </w:t>
      </w:r>
      <w:r>
        <w:rPr>
          <w:b/>
          <w:bCs/>
        </w:rPr>
        <w:t xml:space="preserve">+6-9%</w:t>
      </w:r>
    </w:p>
    <w:p>
      <w:pPr>
        <w:pStyle w:val="Compact"/>
        <w:numPr>
          <w:ilvl w:val="0"/>
          <w:numId w:val="1003"/>
        </w:numPr>
      </w:pPr>
      <w:r>
        <w:rPr>
          <w:b/>
          <w:bCs/>
        </w:rPr>
        <w:t xml:space="preserve">Adjusted EPS</w:t>
      </w:r>
      <w:r>
        <w:rPr>
          <w:b/>
          <w:bCs/>
        </w:rPr>
        <w:t xml:space="preserve"> </w:t>
      </w:r>
      <m:oMath>
        <m:r>
          <m:t>19.30</m:t>
        </m:r>
        <m:r>
          <m:rPr>
            <m:sty m:val="p"/>
          </m:rPr>
          <m:t>–</m:t>
        </m:r>
      </m:oMath>
      <w:r>
        <w:rPr>
          <w:b/>
          <w:bCs/>
        </w:rPr>
        <w:t xml:space="preserve">19.85</w:t>
      </w:r>
      <w:r>
        <w:t xml:space="preserve"> </w:t>
      </w:r>
      <w:r>
        <w:t xml:space="preserve">(GAAP</w:t>
      </w:r>
      <w:r>
        <w:t xml:space="preserve"> </w:t>
      </w:r>
      <m:oMath>
        <m:r>
          <m:t>17.45</m:t>
        </m:r>
        <m:r>
          <m:rPr>
            <m:sty m:val="p"/>
          </m:rPr>
          <m:t>–</m:t>
        </m:r>
      </m:oMath>
      <w:r>
        <w:t xml:space="preserve">18.00)</w:t>
      </w:r>
    </w:p>
    <w:p>
      <w:pPr>
        <w:pStyle w:val="Compact"/>
        <w:numPr>
          <w:ilvl w:val="0"/>
          <w:numId w:val="1003"/>
        </w:numPr>
      </w:pPr>
      <w:r>
        <w:t xml:space="preserve">Adjusted op margin expansion ~+20 bps (Utility-led; Electrical ~flat)</w:t>
      </w:r>
    </w:p>
    <w:p>
      <w:pPr>
        <w:pStyle w:val="Compact"/>
        <w:numPr>
          <w:ilvl w:val="0"/>
          <w:numId w:val="1003"/>
        </w:numPr>
      </w:pPr>
      <w:r>
        <w:t xml:space="preserve">Adjusted tax rate ~22.5%; FCF conversion ≥90%; R&amp;R investment $15-20M</w:t>
      </w:r>
    </w:p>
    <w:p>
      <w:pPr>
        <w:pStyle w:val="Compact"/>
        <w:numPr>
          <w:ilvl w:val="0"/>
          <w:numId w:val="1003"/>
        </w:numPr>
      </w:pPr>
      <w:r>
        <w:t xml:space="preserve">Share count ~53.1M; buyback-driven lower count offset by higher interest (EPS-neutral in '26, accretive in '27)</w:t>
      </w:r>
    </w:p>
    <w:p>
      <w:pPr>
        <w:pStyle w:val="FirstParagraph"/>
      </w:pPr>
      <w:r>
        <w:rPr>
          <w:b/>
          <w:bCs/>
        </w:rPr>
        <w:t xml:space="preserve">Given the Q1 beat-and-raise and strong order momentum, the market will be looking for another guidance raise (or at least a raise to the low end).</w:t>
      </w:r>
      <w:r>
        <w:t xml:space="preserve"> </w:t>
      </w:r>
      <w:r>
        <w:t xml:space="preserve">A mere reaffirmation could disappoint given the run-rate. Watch first-half cadence — HUBB said H1 is ~mid-to-high 40s% of full-year earnings, so a strong Q2 is needed to keep the full year on track without back-half heroics.</w:t>
      </w:r>
    </w:p>
    <w:p>
      <w:r>
        <w:pict>
          <v:rect style="width:0;height:1.5pt" o:hralign="center" o:hrstd="t" o:hr="t"/>
        </w:pict>
      </w:r>
    </w:p>
    <w:bookmarkEnd w:id="15"/>
    <w:bookmarkStart w:id="16" w:name="Xb5e6a14620a49ed366d9cb7877799648242e4c0"/>
    <w:p>
      <w:pPr>
        <w:pStyle w:val="Heading2"/>
      </w:pPr>
      <w:r>
        <w:t xml:space="preserve">6. Longer-cycle theme to listen for: 765 kV / high-voltage transmission</w:t>
      </w:r>
    </w:p>
    <w:p>
      <w:pPr>
        <w:pStyle w:val="FirstParagraph"/>
      </w:pPr>
      <w:r>
        <w:t xml:space="preserve">Management introduced this at Q1 as an emerging multi-year growth vector: a</w:t>
      </w:r>
      <w:r>
        <w:t xml:space="preserve"> </w:t>
      </w:r>
      <w:r>
        <w:rPr>
          <w:b/>
          <w:bCs/>
        </w:rPr>
        <w:t xml:space="preserve">~$1.5B addressable opportunity over 10 years</w:t>
      </w:r>
      <w:r>
        <w:t xml:space="preserve"> </w:t>
      </w:r>
      <w:r>
        <w:t xml:space="preserve">(~7,000 miles of high-voltage build-out, HUBB content), largely</w:t>
      </w:r>
      <w:r>
        <w:t xml:space="preserve"> </w:t>
      </w:r>
      <w:r>
        <w:rPr>
          <w:b/>
          <w:bCs/>
        </w:rPr>
        <w:t xml:space="preserve">incremental</w:t>
      </w:r>
      <w:r>
        <w:t xml:space="preserve"> </w:t>
      </w:r>
      <w:r>
        <w:t xml:space="preserve">to its existing 345 kV transmission business, capable of adding **~1 point of growth on top of high-single-digit transmission/substation growth**. Early project wins already booked. Any expansion of this framing, additional wins, or capacity-investment updates would reinforce the secular bull case.</w:t>
      </w:r>
    </w:p>
    <w:p>
      <w:r>
        <w:pict>
          <v:rect style="width:0;height:1.5pt" o:hralign="center" o:hrstd="t" o:hr="t"/>
        </w:pict>
      </w:r>
    </w:p>
    <w:bookmarkEnd w:id="16"/>
    <w:bookmarkStart w:id="17" w:name="Xafac8a3bdf5bc92005161b0015fbbe8b7d162e5"/>
    <w:p>
      <w:pPr>
        <w:pStyle w:val="Heading2"/>
      </w:pPr>
      <w:r>
        <w:t xml:space="preserve">7. Capital allocation</w:t>
      </w:r>
    </w:p>
    <w:p>
      <w:pPr>
        <w:pStyle w:val="Compact"/>
        <w:numPr>
          <w:ilvl w:val="0"/>
          <w:numId w:val="1004"/>
        </w:numPr>
      </w:pPr>
      <w:r>
        <w:t xml:space="preserve">Balance sheet has room:</w:t>
      </w:r>
      <w:r>
        <w:t xml:space="preserve"> </w:t>
      </w:r>
      <w:r>
        <w:rPr>
          <w:b/>
          <w:bCs/>
        </w:rPr>
        <w:t xml:space="preserve">net debt/cap ~31%</w:t>
      </w:r>
      <w:r>
        <w:t xml:space="preserve"> </w:t>
      </w:r>
      <w:r>
        <w:t xml:space="preserve">post-DMC, with cash ~$500M.</w:t>
      </w:r>
    </w:p>
    <w:p>
      <w:pPr>
        <w:pStyle w:val="Compact"/>
        <w:numPr>
          <w:ilvl w:val="0"/>
          <w:numId w:val="1004"/>
        </w:numPr>
      </w:pPr>
      <w:r>
        <w:t xml:space="preserve">HUBB bought back **</w:t>
      </w:r>
      <m:oMath>
        <m:r>
          <m:t>168</m:t>
        </m:r>
        <m:r>
          <m:t>M</m:t>
        </m:r>
        <m:r>
          <m:t>o</m:t>
        </m:r>
        <m:r>
          <m:t>f</m:t>
        </m:r>
        <m:r>
          <m:t>s</m:t>
        </m:r>
        <m:r>
          <m:t>t</m:t>
        </m:r>
        <m:r>
          <m:t>o</m:t>
        </m:r>
        <m:r>
          <m:t>c</m:t>
        </m:r>
        <m:r>
          <m:t>k</m:t>
        </m:r>
        <m:r>
          <m:t>i</m:t>
        </m:r>
        <m:r>
          <m:t>n</m:t>
        </m:r>
        <m:r>
          <m:t>Q</m:t>
        </m:r>
        <m:r>
          <m:t>1</m:t>
        </m:r>
        <m:r>
          <m:rPr>
            <m:sty m:val="p"/>
          </m:rPr>
          <m:t>*</m:t>
        </m:r>
        <m:r>
          <m:rPr>
            <m:sty m:val="p"/>
          </m:rPr>
          <m:t>*</m:t>
        </m:r>
        <m:r>
          <m:t>a</m:t>
        </m:r>
        <m:r>
          <m:t>t</m:t>
        </m:r>
        <m:r>
          <m:t>a</m:t>
        </m:r>
        <m:r>
          <m:t>c</m:t>
        </m:r>
        <m:r>
          <m:t>o</m:t>
        </m:r>
        <m:r>
          <m:t>s</m:t>
        </m:r>
        <m:r>
          <m:t>t</m:t>
        </m:r>
        <m:r>
          <m:t>b</m:t>
        </m:r>
        <m:r>
          <m:t>a</m:t>
        </m:r>
        <m:r>
          <m:t>s</m:t>
        </m:r>
        <m:r>
          <m:t>i</m:t>
        </m:r>
        <m:r>
          <m:t>s</m:t>
        </m:r>
        <m:r>
          <m:rPr>
            <m:sty m:val="p"/>
          </m:rPr>
          <m:t>&lt;</m:t>
        </m:r>
      </m:oMath>
      <w:r>
        <w:t xml:space="preserve">500/share (accretive in 2027).</w:t>
      </w:r>
    </w:p>
    <w:p>
      <w:pPr>
        <w:pStyle w:val="Compact"/>
        <w:numPr>
          <w:ilvl w:val="0"/>
          <w:numId w:val="1004"/>
        </w:numPr>
      </w:pPr>
      <w:r>
        <w:t xml:space="preserve">Priority stack:</w:t>
      </w:r>
      <w:r>
        <w:t xml:space="preserve"> </w:t>
      </w:r>
      <w:r>
        <w:rPr>
          <w:b/>
          <w:bCs/>
        </w:rPr>
        <w:t xml:space="preserve">CapEx (elevated, for capacity/productivity) → M&amp;A (healthy pipeline, bolt-ons getting larger + potential larger deals in T&amp;D/data center/light industrial) → buybacks</w:t>
      </w:r>
      <w:r>
        <w:t xml:space="preserve"> </w:t>
      </w:r>
      <w:r>
        <w:t xml:space="preserve">as a flex lever. Any M&amp;A commentary or a larger deal signal could move the stock.</w:t>
      </w:r>
    </w:p>
    <w:p>
      <w:r>
        <w:pict>
          <v:rect style="width:0;height:1.5pt" o:hralign="center" o:hrstd="t" o:hr="t"/>
        </w:pict>
      </w:r>
    </w:p>
    <w:bookmarkEnd w:id="17"/>
    <w:bookmarkStart w:id="18" w:name="X622b4c9f739449528bf38f81e91abfcc39b677e"/>
    <w:p>
      <w:pPr>
        <w:pStyle w:val="Heading2"/>
      </w:pPr>
      <w:r>
        <w:t xml:space="preserve">What I'd watch most closely on the print/call</w:t>
      </w:r>
    </w:p>
    <w:p>
      <w:pPr>
        <w:pStyle w:val="Compact"/>
        <w:numPr>
          <w:ilvl w:val="0"/>
          <w:numId w:val="1005"/>
        </w:numPr>
      </w:pPr>
      <w:r>
        <w:rPr>
          <w:b/>
          <w:bCs/>
        </w:rPr>
        <w:t xml:space="preserve">Adjusted EPS vs. the ~</w:t>
      </w:r>
      <m:oMath>
        <m:r>
          <m:t>5.32</m:t>
        </m:r>
        <m:r>
          <m:rPr>
            <m:sty m:val="p"/>
          </m:rPr>
          <m:t>–</m:t>
        </m:r>
      </m:oMath>
      <w:r>
        <w:rPr>
          <w:b/>
          <w:bCs/>
        </w:rPr>
        <w:t xml:space="preserve">5.53 bar</w:t>
      </w:r>
      <w:r>
        <w:t xml:space="preserve"> </w:t>
      </w:r>
      <w:r>
        <w:t xml:space="preserve">— and quality (price vs. volume vs. one-offs).</w:t>
      </w:r>
    </w:p>
    <w:p>
      <w:pPr>
        <w:pStyle w:val="Compact"/>
        <w:numPr>
          <w:ilvl w:val="0"/>
          <w:numId w:val="1005"/>
        </w:numPr>
      </w:pPr>
      <w:r>
        <w:rPr>
          <w:b/>
          <w:bCs/>
        </w:rPr>
        <w:t xml:space="preserve">Guidance action</w:t>
      </w:r>
      <w:r>
        <w:t xml:space="preserve"> </w:t>
      </w:r>
      <w:r>
        <w:t xml:space="preserve">— another raise vs. reaffirm; the market has come to expect raises.</w:t>
      </w:r>
    </w:p>
    <w:p>
      <w:pPr>
        <w:pStyle w:val="Compact"/>
        <w:numPr>
          <w:ilvl w:val="0"/>
          <w:numId w:val="1005"/>
        </w:numPr>
      </w:pPr>
      <w:r>
        <w:rPr>
          <w:b/>
          <w:bCs/>
        </w:rPr>
        <w:t xml:space="preserve">Grid Automation/Aclara inflection to positive</w:t>
      </w:r>
      <w:r>
        <w:t xml:space="preserve"> </w:t>
      </w:r>
      <w:r>
        <w:t xml:space="preserve">— the key "show me."</w:t>
      </w:r>
    </w:p>
    <w:p>
      <w:pPr>
        <w:pStyle w:val="Compact"/>
        <w:numPr>
          <w:ilvl w:val="0"/>
          <w:numId w:val="1005"/>
        </w:numPr>
      </w:pPr>
      <w:r>
        <w:rPr>
          <w:b/>
          <w:bCs/>
        </w:rPr>
        <w:t xml:space="preserve">Data center growth rate and order book</w:t>
      </w:r>
      <w:r>
        <w:t xml:space="preserve"> </w:t>
      </w:r>
      <w:r>
        <w:t xml:space="preserve">— still accelerating? capacity limits?</w:t>
      </w:r>
    </w:p>
    <w:p>
      <w:pPr>
        <w:pStyle w:val="Compact"/>
        <w:numPr>
          <w:ilvl w:val="0"/>
          <w:numId w:val="1005"/>
        </w:numPr>
      </w:pPr>
      <w:r>
        <w:rPr>
          <w:b/>
          <w:bCs/>
        </w:rPr>
        <w:t xml:space="preserve">Utility margins &amp; overall price/cost dollars</w:t>
      </w:r>
      <w:r>
        <w:t xml:space="preserve"> </w:t>
      </w:r>
      <w:r>
        <w:t xml:space="preserve">— neutral-or-better as promised, against the tough FIFO-aided Q2'25 comp.</w:t>
      </w:r>
    </w:p>
    <w:p>
      <w:pPr>
        <w:pStyle w:val="Compact"/>
        <w:numPr>
          <w:ilvl w:val="0"/>
          <w:numId w:val="1005"/>
        </w:numPr>
      </w:pPr>
      <w:r>
        <w:rPr>
          <w:b/>
          <w:bCs/>
        </w:rPr>
        <w:t xml:space="preserve">Book-to-bill / order commentary</w:t>
      </w:r>
      <w:r>
        <w:t xml:space="preserve"> </w:t>
      </w:r>
      <w:r>
        <w:t xml:space="preserve">— is the ~1.2x Q1 momentum sustaining into construction season?</w:t>
      </w:r>
    </w:p>
    <w:p>
      <w:pPr>
        <w:pStyle w:val="Compact"/>
        <w:numPr>
          <w:ilvl w:val="0"/>
          <w:numId w:val="1005"/>
        </w:numPr>
      </w:pPr>
      <w:r>
        <w:rPr>
          <w:b/>
          <w:bCs/>
        </w:rPr>
        <w:t xml:space="preserve">765 kV project wins and M&amp;A pipeline</w:t>
      </w:r>
      <w:r>
        <w:t xml:space="preserve"> </w:t>
      </w:r>
      <w:r>
        <w:t xml:space="preserve">— the longer-term optionality.</w:t>
      </w:r>
    </w:p>
    <w:bookmarkEnd w:id="18"/>
    <w:bookmarkStart w:id="19" w:name="bottom-line"/>
    <w:p>
      <w:pPr>
        <w:pStyle w:val="Heading2"/>
      </w:pPr>
      <w:r>
        <w:t xml:space="preserve">Bottom line</w:t>
      </w:r>
    </w:p>
    <w:p>
      <w:pPr>
        <w:pStyle w:val="FirstParagraph"/>
      </w:pPr>
      <w:r>
        <w:t xml:space="preserve">HUBB heads into Q2 with genuine secular tailwinds (utility T&amp;D + data center = ~2/3 of the portfolio, &gt;90% U.S. revenue) and a management team that has consistently under-promised and over-delivered. The bar is a modest y/y EPS increase to ~</w:t>
      </w:r>
      <m:oMath>
        <m:r>
          <m:t>5.3</m:t>
        </m:r>
        <m:r>
          <m:rPr>
            <m:sty m:val="p"/>
          </m:rPr>
          <m:t>–</m:t>
        </m:r>
      </m:oMath>
      <w:r>
        <w:t xml:space="preserve">5.5. The two most important swing factors are</w:t>
      </w:r>
      <w:r>
        <w:t xml:space="preserve"> </w:t>
      </w:r>
      <w:r>
        <w:rPr>
          <w:b/>
          <w:bCs/>
        </w:rPr>
        <w:t xml:space="preserve">(a) whether the strong Grid Infrastructure/data center demand and full pricing realization drive another guidance raise</w:t>
      </w:r>
      <w:r>
        <w:t xml:space="preserve">, and</w:t>
      </w:r>
      <w:r>
        <w:t xml:space="preserve"> </w:t>
      </w:r>
      <w:r>
        <w:rPr>
          <w:b/>
          <w:bCs/>
        </w:rPr>
        <w:t xml:space="preserve">(b) whether soft-looking Electrical/consolidated margins are correctly read as the tough FIFO-aided Q2'25 comp rather than a fundamental problem.</w:t>
      </w:r>
      <w:r>
        <w:t xml:space="preserve"> </w:t>
      </w:r>
      <w:r>
        <w:t xml:space="preserve">A clean beat plus a raise and a Grid Automation inflection would be the bullish trifecta; a mere reaffirm with continued Grid Automation softness would be the disappointing case given where expectations sit.</w:t>
      </w:r>
    </w:p>
    <w:p>
      <w:r>
        <w:pict>
          <v:rect style="width:0;height:1.5pt" o:hralign="center" o:hrstd="t" o:hr="t"/>
        </w:pict>
      </w:r>
    </w:p>
    <w:p>
      <w:pPr>
        <w:pStyle w:val="FirstParagraph"/>
      </w:pPr>
      <w:r>
        <w:rPr>
          <w:i/>
          <w:iCs/>
        </w:rPr>
        <w:t xml:space="preserve">Sources: Hubbell Q1 2026 earnings release &amp; call transcript (4/30/26), Q2 2025 earnings release (7/29/25), consensus estimates via Yahoo Finance/Zacks/ChartMill, and market pricing through 7/27/26. This is an informational preview, not investment advice.</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2026-07-28T00:40:58Z</dcterms:created>
  <dcterms:modified xsi:type="dcterms:W3CDTF">2026-07-28T00:40:58Z</dcterms:modified>
</cp:coreProperties>
</file>

<file path=docProps/custom.xml><?xml version="1.0" encoding="utf-8"?>
<Properties xmlns="http://schemas.openxmlformats.org/officeDocument/2006/custom-properties" xmlns:vt="http://schemas.openxmlformats.org/officeDocument/2006/docPropsVTypes"/>
</file>