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hubb-earnings-predictions--2026-07-28"/>
    <w:p>
      <w:pPr>
        <w:pStyle w:val="Heading1"/>
      </w:pPr>
      <w:r>
        <w:t xml:space="preserve">HUBB Earnings Predictions — 2026-07-28</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HUBB</w:t>
            </w:r>
          </w:p>
        </w:tc>
        <w:tc>
          <w:tcPr/>
          <w:p>
            <w:pPr>
              <w:pStyle w:val="Compact"/>
            </w:pPr>
            <w:r>
              <w:t xml:space="preserve">Report</w:t>
            </w:r>
          </w:p>
        </w:tc>
        <w:tc>
          <w:tcPr/>
          <w:p>
            <w:pPr>
              <w:pStyle w:val="Compact"/>
            </w:pPr>
            <w:r>
              <w:t xml:space="preserve">Adjusted diluted EPS (Q2 2026)</w:t>
            </w:r>
          </w:p>
        </w:tc>
        <w:tc>
          <w:tcPr/>
          <w:p>
            <w:pPr>
              <w:pStyle w:val="Compact"/>
            </w:pPr>
            <w:r>
              <w:t xml:space="preserve">BEAT</w:t>
            </w:r>
          </w:p>
        </w:tc>
        <w:tc>
          <w:tcPr/>
          <w:p>
            <w:pPr>
              <w:pStyle w:val="Compact"/>
            </w:pPr>
            <w:r>
              <w:t xml:space="preserve">pred ~$5.45 vs. cons $5.32</w:t>
            </w:r>
          </w:p>
        </w:tc>
        <w:tc>
          <w:tcPr/>
          <w:p>
            <w:pPr>
              <w:pStyle w:val="Compact"/>
            </w:pPr>
            <w:r>
              <w:t xml:space="preserve">MEDIUM</w:t>
            </w:r>
          </w:p>
        </w:tc>
      </w:tr>
      <w:tr>
        <w:tc>
          <w:tcPr/>
          <w:p>
            <w:pPr>
              <w:pStyle w:val="Compact"/>
            </w:pPr>
            <w:r>
              <w:t xml:space="preserve">HUBB</w:t>
            </w:r>
          </w:p>
        </w:tc>
        <w:tc>
          <w:tcPr/>
          <w:p>
            <w:pPr>
              <w:pStyle w:val="Compact"/>
            </w:pPr>
            <w:r>
              <w:t xml:space="preserve">Report</w:t>
            </w:r>
          </w:p>
        </w:tc>
        <w:tc>
          <w:tcPr/>
          <w:p>
            <w:pPr>
              <w:pStyle w:val="Compact"/>
            </w:pPr>
            <w:r>
              <w:t xml:space="preserve">Net sales / revenue (Q2 2026, incl. ~3 weeks NSI)</w:t>
            </w:r>
          </w:p>
        </w:tc>
        <w:tc>
          <w:tcPr/>
          <w:p>
            <w:pPr>
              <w:pStyle w:val="Compact"/>
            </w:pPr>
            <w:r>
              <w:t xml:space="preserve">BEAT</w:t>
            </w:r>
          </w:p>
        </w:tc>
        <w:tc>
          <w:tcPr/>
          <w:p>
            <w:pPr>
              <w:pStyle w:val="Compact"/>
            </w:pPr>
            <w:r>
              <w:t xml:space="preserve">pred ~$1.66B vs. cons $1.64B</w:t>
            </w:r>
          </w:p>
        </w:tc>
        <w:tc>
          <w:tcPr/>
          <w:p>
            <w:pPr>
              <w:pStyle w:val="Compact"/>
            </w:pPr>
            <w:r>
              <w:t xml:space="preserve">MEDIUM</w:t>
            </w:r>
          </w:p>
        </w:tc>
      </w:tr>
      <w:tr>
        <w:tc>
          <w:tcPr/>
          <w:p>
            <w:pPr>
              <w:pStyle w:val="Compact"/>
            </w:pPr>
            <w:r>
              <w:t xml:space="preserve">HUBB</w:t>
            </w:r>
          </w:p>
        </w:tc>
        <w:tc>
          <w:tcPr/>
          <w:p>
            <w:pPr>
              <w:pStyle w:val="Compact"/>
            </w:pPr>
            <w:r>
              <w:t xml:space="preserve">Report</w:t>
            </w:r>
          </w:p>
        </w:tc>
        <w:tc>
          <w:tcPr/>
          <w:p>
            <w:pPr>
              <w:pStyle w:val="Compact"/>
            </w:pPr>
            <w:r>
              <w:t xml:space="preserve">Adjusted operating margin (Q2 2026)</w:t>
            </w:r>
          </w:p>
        </w:tc>
        <w:tc>
          <w:tcPr/>
          <w:p>
            <w:pPr>
              <w:pStyle w:val="Compact"/>
            </w:pPr>
            <w:r>
              <w:t xml:space="preserve">IN-LINE</w:t>
            </w:r>
          </w:p>
        </w:tc>
        <w:tc>
          <w:tcPr/>
          <w:p>
            <w:pPr>
              <w:pStyle w:val="Compact"/>
            </w:pPr>
            <w:r>
              <w:t xml:space="preserve">pred ~24.5% vs. cons 24.4%</w:t>
            </w:r>
          </w:p>
        </w:tc>
        <w:tc>
          <w:tcPr/>
          <w:p>
            <w:pPr>
              <w:pStyle w:val="Compact"/>
            </w:pPr>
            <w:r>
              <w:t xml:space="preserve">LOW</w:t>
            </w:r>
          </w:p>
        </w:tc>
      </w:tr>
      <w:tr>
        <w:tc>
          <w:tcPr/>
          <w:p>
            <w:pPr>
              <w:pStyle w:val="Compact"/>
            </w:pPr>
            <w:r>
              <w:t xml:space="preserve">HUBB</w:t>
            </w:r>
          </w:p>
        </w:tc>
        <w:tc>
          <w:tcPr/>
          <w:p>
            <w:pPr>
              <w:pStyle w:val="Compact"/>
            </w:pPr>
            <w:r>
              <w:t xml:space="preserve">Guide</w:t>
            </w:r>
          </w:p>
        </w:tc>
        <w:tc>
          <w:tcPr/>
          <w:p>
            <w:pPr>
              <w:pStyle w:val="Compact"/>
            </w:pPr>
            <w:r>
              <w:t xml:space="preserve">FY2026 adjusted diluted EPS guidance (raised range midpoint, post-NSI)</w:t>
            </w:r>
          </w:p>
        </w:tc>
        <w:tc>
          <w:tcPr/>
          <w:p>
            <w:pPr>
              <w:pStyle w:val="Compact"/>
            </w:pPr>
            <w:r>
              <w:t xml:space="preserve">BETTER</w:t>
            </w:r>
          </w:p>
        </w:tc>
        <w:tc>
          <w:tcPr/>
          <w:p>
            <w:pPr>
              <w:pStyle w:val="Compact"/>
            </w:pPr>
            <w:r>
              <w:t xml:space="preserve">guide ~$20.00 vs. cons $19.83 (FY2026)</w:t>
            </w:r>
          </w:p>
        </w:tc>
        <w:tc>
          <w:tcPr/>
          <w:p>
            <w:pPr>
              <w:pStyle w:val="Compact"/>
            </w:pPr>
            <w:r>
              <w:t xml:space="preserve">MEDIUM</w:t>
            </w:r>
          </w:p>
        </w:tc>
      </w:tr>
      <w:tr>
        <w:tc>
          <w:tcPr/>
          <w:p>
            <w:pPr>
              <w:pStyle w:val="Compact"/>
            </w:pPr>
            <w:r>
              <w:t xml:space="preserve">HUBB</w:t>
            </w:r>
          </w:p>
        </w:tc>
        <w:tc>
          <w:tcPr/>
          <w:p>
            <w:pPr>
              <w:pStyle w:val="Compact"/>
            </w:pPr>
            <w:r>
              <w:t xml:space="preserve">Guide</w:t>
            </w:r>
          </w:p>
        </w:tc>
        <w:tc>
          <w:tcPr/>
          <w:p>
            <w:pPr>
              <w:pStyle w:val="Compact"/>
            </w:pPr>
            <w:r>
              <w:t xml:space="preserve">FY2026 total sales growth guidance (incorporating full NSI contribution)</w:t>
            </w:r>
          </w:p>
        </w:tc>
        <w:tc>
          <w:tcPr/>
          <w:p>
            <w:pPr>
              <w:pStyle w:val="Compact"/>
            </w:pPr>
            <w:r>
              <w:t xml:space="preserve">BETTER</w:t>
            </w:r>
          </w:p>
        </w:tc>
        <w:tc>
          <w:tcPr/>
          <w:p>
            <w:pPr>
              <w:pStyle w:val="Compact"/>
            </w:pPr>
            <w:r>
              <w:t xml:space="preserve">guide ~11% vs. cons 9% (FY2026)</w:t>
            </w:r>
          </w:p>
        </w:tc>
        <w:tc>
          <w:tcPr/>
          <w:p>
            <w:pPr>
              <w:pStyle w:val="Compact"/>
            </w:pPr>
            <w:r>
              <w:t xml:space="preserve">MEDIUM</w:t>
            </w:r>
          </w:p>
        </w:tc>
      </w:tr>
      <w:tr>
        <w:tc>
          <w:tcPr/>
          <w:p>
            <w:pPr>
              <w:pStyle w:val="Compact"/>
            </w:pPr>
            <w:r>
              <w:t xml:space="preserve">HUBB</w:t>
            </w:r>
          </w:p>
        </w:tc>
        <w:tc>
          <w:tcPr/>
          <w:p>
            <w:pPr>
              <w:pStyle w:val="Compact"/>
            </w:pPr>
            <w:r>
              <w:t xml:space="preserve">Guide</w:t>
            </w:r>
          </w:p>
        </w:tc>
        <w:tc>
          <w:tcPr/>
          <w:p>
            <w:pPr>
              <w:pStyle w:val="Compact"/>
            </w:pPr>
            <w:r>
              <w:t xml:space="preserve">FY2026 adjusted operating margin expansion guidance</w:t>
            </w:r>
          </w:p>
        </w:tc>
        <w:tc>
          <w:tcPr/>
          <w:p>
            <w:pPr>
              <w:pStyle w:val="Compact"/>
            </w:pPr>
            <w:r>
              <w:t xml:space="preserve">UNCHANGED</w:t>
            </w:r>
          </w:p>
        </w:tc>
        <w:tc>
          <w:tcPr/>
          <w:p>
            <w:pPr>
              <w:pStyle w:val="Compact"/>
            </w:pPr>
            <w:r>
              <w:t xml:space="preserve">guide ~20bps vs. cons 25bps (FY2026)</w:t>
            </w:r>
          </w:p>
        </w:tc>
        <w:tc>
          <w:tcPr/>
          <w:p>
            <w:pPr>
              <w:pStyle w:val="Compact"/>
            </w:pPr>
            <w:r>
              <w:t xml:space="preserve">LOW</w:t>
            </w:r>
          </w:p>
        </w:tc>
      </w:tr>
      <w:tr>
        <w:tc>
          <w:tcPr/>
          <w:p>
            <w:pPr>
              <w:pStyle w:val="Compact"/>
            </w:pPr>
            <w:r>
              <w:t xml:space="preserve">HUBB</w:t>
            </w:r>
          </w:p>
        </w:tc>
        <w:tc>
          <w:tcPr/>
          <w:p>
            <w:pPr>
              <w:pStyle w:val="Compact"/>
            </w:pPr>
            <w:r>
              <w:t xml:space="preserve">Return</w:t>
            </w:r>
          </w:p>
        </w:tc>
        <w:tc>
          <w:tcPr/>
          <w:p>
            <w:pPr>
              <w:pStyle w:val="Compact"/>
            </w:pPr>
            <w:r>
              <w:t xml:space="preserve">Day-1 residual (stock − beta × S&amp;P 500)</w:t>
            </w:r>
          </w:p>
        </w:tc>
        <w:tc>
          <w:tcPr/>
          <w:p>
            <w:pPr>
              <w:pStyle w:val="Compact"/>
            </w:pPr>
            <w:r>
              <w:t xml:space="preserve">+1.0%</w:t>
            </w:r>
          </w:p>
        </w:tc>
        <w:tc>
          <w:tcPr/>
          <w:p>
            <w:pPr>
              <w:pStyle w:val="Compact"/>
            </w:pPr>
            <w:r>
              <w:t xml:space="preserve">—</w:t>
            </w:r>
          </w:p>
        </w:tc>
        <w:tc>
          <w:tcPr/>
          <w:p>
            <w:pPr>
              <w:pStyle w:val="Compact"/>
            </w:pPr>
            <w:r>
              <w:t xml:space="preserve">MEDIUM</w:t>
            </w:r>
          </w:p>
        </w:tc>
      </w:tr>
      <w:tr>
        <w:tc>
          <w:tcPr/>
          <w:p>
            <w:pPr>
              <w:pStyle w:val="Compact"/>
            </w:pPr>
            <w:r>
              <w:t xml:space="preserve">HUBB</w:t>
            </w:r>
          </w:p>
        </w:tc>
        <w:tc>
          <w:tcPr/>
          <w:p>
            <w:pPr>
              <w:pStyle w:val="Compact"/>
            </w:pPr>
            <w:r>
              <w:t xml:space="preserve">Return</w:t>
            </w:r>
          </w:p>
        </w:tc>
        <w:tc>
          <w:tcPr/>
          <w:p>
            <w:pPr>
              <w:pStyle w:val="Compact"/>
            </w:pPr>
            <w:r>
              <w:t xml:space="preserve">5-day cumulative residual</w:t>
            </w:r>
          </w:p>
        </w:tc>
        <w:tc>
          <w:tcPr/>
          <w:p>
            <w:pPr>
              <w:pStyle w:val="Compact"/>
            </w:pPr>
            <w:r>
              <w:t xml:space="preserve">-0.4% (FADE)</w:t>
            </w:r>
          </w:p>
        </w:tc>
        <w:tc>
          <w:tcPr/>
          <w:p>
            <w:pPr>
              <w:pStyle w:val="Compact"/>
            </w:pPr>
            <w:r>
              <w:t xml:space="preserve">Even with a likely Q2 beat and a modest FY26 EPS/sales raise, the raise is unlikely to fully capture NSI's dilutive debt/interest load, higher leverage (net debt/cap already at 31% pre-NSI), and only ~1pt of price/cost margin drag baked into the 20bps margin-expansion guide. This mirrors the Q1 pattern where a beat-and-raise still sold off ~7% as investors focused on price/cost and deal-related balance-sheet risk; analysts may trim out-period (2H26/2027) EPS/margin assumptions on NSI integration costs and financing drag even after headline upside, causing an initial pop to fade over the week as estimate revisions catch down to the more conservative implicit guidance math.</w:t>
            </w:r>
          </w:p>
        </w:tc>
        <w:tc>
          <w:tcPr/>
          <w:p>
            <w:pPr>
              <w:pStyle w:val="Compact"/>
            </w:pPr>
            <w:r>
              <w:t xml:space="preserve">MEDIUM</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2026-07-28T00:43:30Z</dcterms:created>
  <dcterms:modified xsi:type="dcterms:W3CDTF">2026-07-28T00:43:30Z</dcterms:modified>
</cp:coreProperties>
</file>

<file path=docProps/custom.xml><?xml version="1.0" encoding="utf-8"?>
<Properties xmlns="http://schemas.openxmlformats.org/officeDocument/2006/custom-properties" xmlns:vt="http://schemas.openxmlformats.org/officeDocument/2006/docPropsVTypes"/>
</file>