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Hubbell (HUBB) ahead of their earnings report. Let me gather information from multiple angles.Now let me pull last year's Q2 2025 numbers for direct comparison and check the most recent analyst sentiment/price targets since the NSI deal.I now have a comprehensive picture. Let me put together the earnings preview.# Hubbell Incorporated (NYSE: HUBB) — Q2 2026 Earnings Preview</w:t>
      </w:r>
    </w:p>
    <w:p>
      <w:pPr>
        <w:pStyle w:val="BodyText"/>
      </w:pPr>
      <w:r>
        <w:rPr>
          <w:b/>
          <w:bCs/>
        </w:rPr>
        <w:t xml:space="preserve">Report date:</w:t>
      </w:r>
      <w:r>
        <w:t xml:space="preserve"> </w:t>
      </w:r>
      <w:r>
        <w:t xml:space="preserve">Tuesday, July 28, 2026, before market open; conference call at 10:00 AM ET</w:t>
      </w:r>
      <w:r>
        <w:t xml:space="preserve"> </w:t>
      </w:r>
      <w:r>
        <w:rPr>
          <w:b/>
          <w:bCs/>
        </w:rPr>
        <w:t xml:space="preserve">Last close (7/27):</w:t>
      </w:r>
      <w:r>
        <w:t xml:space="preserve"> </w:t>
      </w:r>
      <w:r>
        <w:t xml:space="preserve">~</w:t>
      </w:r>
      <m:oMath>
        <m:r>
          <m:t>498</m:t>
        </m:r>
        <m:r>
          <m:rPr>
            <m:sty m:val="p"/>
          </m:rPr>
          <m:t>|</m:t>
        </m:r>
        <m:r>
          <m:rPr>
            <m:sty m:val="p"/>
          </m:rPr>
          <m:t>*</m:t>
        </m:r>
        <m:r>
          <m:rPr>
            <m:sty m:val="p"/>
          </m:rPr>
          <m:t>*</m:t>
        </m:r>
        <m:r>
          <m:t>C</m:t>
        </m:r>
        <m:r>
          <m:t>o</m:t>
        </m:r>
        <m:r>
          <m:t>n</m:t>
        </m:r>
        <m:r>
          <m:t>s</m:t>
        </m:r>
        <m:r>
          <m:t>e</m:t>
        </m:r>
        <m:r>
          <m:t>n</m:t>
        </m:r>
        <m:r>
          <m:t>s</m:t>
        </m:r>
        <m:r>
          <m:t>u</m:t>
        </m:r>
        <m:r>
          <m:t>s</m:t>
        </m:r>
        <m:r>
          <m:rPr>
            <m:sty m:val="p"/>
          </m:rPr>
          <m:t>:</m:t>
        </m:r>
        <m:r>
          <m:rPr>
            <m:sty m:val="p"/>
          </m:rPr>
          <m:t>*</m:t>
        </m:r>
        <m:r>
          <m:rPr>
            <m:sty m:val="p"/>
          </m:rPr>
          <m:t>*</m:t>
        </m:r>
        <m:r>
          <m:t>A</m:t>
        </m:r>
        <m:r>
          <m:t>d</m:t>
        </m:r>
        <m:r>
          <m:t>j</m:t>
        </m:r>
        <m:r>
          <m:rPr>
            <m:sty m:val="p"/>
          </m:rPr>
          <m:t>.</m:t>
        </m:r>
        <m:r>
          <m:t>E</m:t>
        </m:r>
        <m:r>
          <m:t>P</m:t>
        </m:r>
        <m:r>
          <m:t>S</m:t>
        </m:r>
        <m:r>
          <m:t> </m:t>
        </m:r>
      </m:oMath>
      <w:r>
        <w:t xml:space="preserve">5.32 (+7.9% y/y) on revenue near $1.6–1.7B (including NSI)</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Hubbell shares have been volatile in 2026 — rallying from ~$463 in January to an all-time high near $557 in late April, then</w:t>
      </w:r>
      <w:r>
        <w:t xml:space="preserve"> </w:t>
      </w:r>
      <w:r>
        <w:rPr>
          <w:b/>
          <w:bCs/>
        </w:rPr>
        <w:t xml:space="preserve">falling ~7% on Q1 earnings day (April 30)</w:t>
      </w:r>
      <w:r>
        <w:t xml:space="preserve"> </w:t>
      </w:r>
      <w:r>
        <w:t xml:space="preserve">despite an EPS and revenue beat, as investors focused on price/cost dynamics and digested the newly announced $3B NSI acquisition. The stock bottomed near $461 in mid-May before recovering to the $480–540 range through June and July, closing at $498 the day before this report — roughly flat over six months despite a strong operating year.</w:t>
      </w:r>
    </w:p>
    <w:p>
      <w:pPr>
        <w:pStyle w:val="BodyText"/>
      </w:pPr>
      <w:r>
        <w:t xml:space="preserve">Ahead of the print, analysts hold a consensus "Moderate Buy" rating, with seven of 14 analysts at "Strong Buy" and seven at "Hold", and an average price target of $557, implying roughly 13.5% upside from recent levels. Full-year consensus sits at EPS of $19.83, an 8.9% increase from $18.21 in fiscal 2025.</w:t>
      </w:r>
    </w:p>
    <w:bookmarkEnd w:id="9"/>
    <w:bookmarkStart w:id="10" w:name="Xb0bfc517ad0b1340e14b56fd2a832bbe24196f0"/>
    <w:p>
      <w:pPr>
        <w:pStyle w:val="Heading2"/>
      </w:pPr>
      <w:r>
        <w:t xml:space="preserve">2. What Happened Last Quarter (Q1 2026) — The Baseline</w:t>
      </w:r>
    </w:p>
    <w:p>
      <w:pPr>
        <w:pStyle w:val="FirstParagraph"/>
      </w:pPr>
      <w:r>
        <w:t xml:space="preserve">Hubbell's Q1 was strong across the board: net sales of $1.517 billion in the first quarter of 2026 increased by 11% compared to the prior year, driven by 8% organic growth and acquisitions contributing 3%. Hubbell generated $301 million of adjusted operating profit in the first quarter, representing 18% growth versus the prior year with adjusted operating margins expanding 110 basis points year-over-year. Adjusted earnings per diluted share were $3.93 in the first quarter, representing a 16% increase versus the prior year, and the company</w:t>
      </w:r>
      <w:r>
        <w:t xml:space="preserve"> </w:t>
      </w:r>
      <w:r>
        <w:rPr>
          <w:b/>
          <w:bCs/>
        </w:rPr>
        <w:t xml:space="preserve">raised full-year guidance</w:t>
      </w:r>
      <w:r>
        <w:t xml:space="preserve">: raising the full year sales growth outlook to 8% to 11% and organic sales growth outlook to 6% to 9%, with full year adjusted earnings per diluted share outlook raised to $19.30 to $19.85 per share.</w:t>
      </w:r>
    </w:p>
    <w:p>
      <w:pPr>
        <w:pStyle w:val="BodyText"/>
      </w:pPr>
      <w:r>
        <w:t xml:space="preserve">Management explicitly guided investors on Q2 phasing: "typically, with our strong orders coming through first quarter, we would anticipate a second quarter step-up like we would normally see high single digits organic growth. And add to that, we're looking at price/cost productivity at about neutral on the dollars". On margins, CFO Joe Capozzoli noted "we're really looking at the full year with a 20 basis point margin expansion, and that's going to lean a little heavier towards utility with more expansion and about flattish on electrical" and cautioned that "there's a lot of inflation that's come on... in our 20 basis point of margin expansion at the midpoint of the guide, there's about 1 point of dilution just from that price/cost math."</w:t>
      </w:r>
    </w:p>
    <w:bookmarkEnd w:id="10"/>
    <w:bookmarkStart w:id="11" w:name="X59346fc3b69abc2934b19db6ead22f7e16fc869"/>
    <w:p>
      <w:pPr>
        <w:pStyle w:val="Heading2"/>
      </w:pPr>
      <w:r>
        <w:t xml:space="preserve">3. Key Watch Items for Q2</w:t>
      </w:r>
    </w:p>
    <w:p>
      <w:pPr>
        <w:pStyle w:val="FirstParagraph"/>
      </w:pPr>
      <w:r>
        <w:rPr>
          <w:b/>
          <w:bCs/>
        </w:rPr>
        <w:t xml:space="preserve">Segment momentum — does the acceleration continue?</w:t>
      </w:r>
    </w:p>
    <w:p>
      <w:pPr>
        <w:pStyle w:val="Compact"/>
        <w:numPr>
          <w:ilvl w:val="0"/>
          <w:numId w:val="1001"/>
        </w:numPr>
      </w:pPr>
      <w:r>
        <w:rPr>
          <w:b/>
          <w:bCs/>
        </w:rPr>
        <w:t xml:space="preserve">Utility Solutions / Grid Infrastructure</w:t>
      </w:r>
      <w:r>
        <w:t xml:space="preserve">: T&amp;D demand has been the standout, with "core utility T&amp;D markets remain strong with highly visible load growth driving continued strong demand in transmission and substation markets, and aging infrastructure resiliency investments driving strong demand in distribution markets." Management guided mid-to-high single digit organic growth for the segment through the year, consistent quarter to quarter.</w:t>
      </w:r>
    </w:p>
    <w:p>
      <w:pPr>
        <w:pStyle w:val="Compact"/>
        <w:numPr>
          <w:ilvl w:val="0"/>
          <w:numId w:val="1001"/>
        </w:numPr>
      </w:pPr>
      <w:r>
        <w:rPr>
          <w:b/>
          <w:bCs/>
        </w:rPr>
        <w:t xml:space="preserve">Grid Automation (Aclara/AMI)</w:t>
      </w:r>
      <w:r>
        <w:t xml:space="preserve">: This has been the drag. In Q1, Grid Automation organic sales declined 7% year-on-year, though sales increased slightly on a sequential basis, and management said they "anticipate easing comparisons and continued strength in protection and controls products will enable grid automation organic sales to return to slight year-over-year growth in the second quarter."</w:t>
      </w:r>
      <w:r>
        <w:t xml:space="preserve"> </w:t>
      </w:r>
      <w:r>
        <w:rPr>
          <w:b/>
          <w:bCs/>
        </w:rPr>
        <w:t xml:space="preserve">This inflection is a key thing to confirm in Q2.</w:t>
      </w:r>
    </w:p>
    <w:p>
      <w:pPr>
        <w:pStyle w:val="Compact"/>
        <w:numPr>
          <w:ilvl w:val="0"/>
          <w:numId w:val="1001"/>
        </w:numPr>
      </w:pPr>
      <w:r>
        <w:rPr>
          <w:b/>
          <w:bCs/>
        </w:rPr>
        <w:t xml:space="preserve">Electrical Solutions / Data Centers</w:t>
      </w:r>
      <w:r>
        <w:t xml:space="preserve">: The biggest growth engine — "Electrical Solutions growth continues to be driven by strength in data center and light industrial markets." Q1 saw approximately 40% growth in data center markets, prompting management to raise the full year outlook in data center markets to more than 25%. Watch whether this torrid pace persists or normalizes, and whether short-cycle capacity additions are keeping up with demand.</w:t>
      </w:r>
    </w:p>
    <w:p>
      <w:pPr>
        <w:pStyle w:val="FirstParagraph"/>
      </w:pPr>
      <w:r>
        <w:rPr>
          <w:b/>
          <w:bCs/>
        </w:rPr>
        <w:t xml:space="preserve">Price/cost dynamics.</w:t>
      </w:r>
      <w:r>
        <w:t xml:space="preserve"> </w:t>
      </w:r>
      <w:r>
        <w:t xml:space="preserve">Management indicated "price increases went in for us in the beginning of the second quarter... that all sets in, in the course of second quarter" and that the incremental pricing was aimed at offsetting metals-driven inflation (copper, aluminum, steel). Watch for confirmation that price/cost stayed at least neutral and whether tariff dynamics (Section 232, IEEPA repeal, "122") remained a net-neutral, as management characterized them in Q1.</w:t>
      </w:r>
    </w:p>
    <w:p>
      <w:pPr>
        <w:pStyle w:val="BodyText"/>
      </w:pPr>
      <w:r>
        <w:rPr>
          <w:b/>
          <w:bCs/>
        </w:rPr>
        <w:t xml:space="preserve">High-voltage transmission (765kV) opportunity.</w:t>
      </w:r>
      <w:r>
        <w:t xml:space="preserve"> </w:t>
      </w:r>
      <w:r>
        <w:t xml:space="preserve">A newer secular story: management sized this at "an addressable market opportunity of approximately $1.5 billion over the next 10 years" and framed it as incremental to existing 345kV strength, potentially adding "a point of growth above the high single digits that we provided for transmission substations." Any update on project wins/order momentum here would be a positive data point.</w:t>
      </w:r>
    </w:p>
    <w:p>
      <w:pPr>
        <w:pStyle w:val="BodyText"/>
      </w:pPr>
      <w:r>
        <w:rPr>
          <w:b/>
          <w:bCs/>
        </w:rPr>
        <w:t xml:space="preserve">NSI Industries integration — the big new variable.</w:t>
      </w:r>
      <w:r>
        <w:t xml:space="preserve"> </w:t>
      </w:r>
      <w:r>
        <w:t xml:space="preserve">Hubbell closed its</w:t>
      </w:r>
      <w:r>
        <w:t xml:space="preserve"> </w:t>
      </w:r>
      <w:r>
        <w:rPr>
          <w:b/>
          <w:bCs/>
        </w:rPr>
        <w:t xml:space="preserve">$3.0 billion acquisition of NSI Industries</w:t>
      </w:r>
      <w:r>
        <w:t xml:space="preserve"> </w:t>
      </w:r>
      <w:r>
        <w:t xml:space="preserve">on June 9, 2026, meaning this is the</w:t>
      </w:r>
      <w:r>
        <w:t xml:space="preserve"> </w:t>
      </w:r>
      <w:r>
        <w:rPr>
          <w:b/>
          <w:bCs/>
        </w:rPr>
        <w:t xml:space="preserve">first quarter with roughly three weeks of NSI contribution</w:t>
      </w:r>
      <w:r>
        <w:t xml:space="preserve"> </w:t>
      </w:r>
      <w:r>
        <w:t xml:space="preserve">in reported results. Recall the deal thesis: "NSI has demonstrated strong organic growth in line with higher growth areas of our HES portfolio over the last several years, and its operating margins are expected to be accretive to the segment." NSI was expected to contribute approximately $570 million of 2026 revenue, and the deal was purchased at roughly 15.5x anticipated 2026 EBITDA, with Hubbell expecting "the acquisition to be accretive to adjusted EPS in 2026." Investors should watch for: (1) initial commentary on integration progress, (2) confirmation of the EPS accretion timeline, and (3) updated full-year guidance incorporating NSI (guidance given April 30 predates the deal closing).</w:t>
      </w:r>
    </w:p>
    <w:p>
      <w:pPr>
        <w:pStyle w:val="BodyText"/>
      </w:pPr>
      <w:r>
        <w:rPr>
          <w:b/>
          <w:bCs/>
        </w:rPr>
        <w:t xml:space="preserve">Balance sheet / leverage.</w:t>
      </w:r>
      <w:r>
        <w:t xml:space="preserve"> </w:t>
      </w:r>
      <w:r>
        <w:t xml:space="preserve">The NSI deal was financed with a new $900 million unsecured term loan,</w:t>
      </w:r>
      <w:r>
        <w:t xml:space="preserve"> </w:t>
      </w:r>
      <m:oMath>
        <m:r>
          <m:t>1.9</m:t>
        </m:r>
        <m:r>
          <m:t>b</m:t>
        </m:r>
        <m:r>
          <m:t>i</m:t>
        </m:r>
        <m:r>
          <m:t>l</m:t>
        </m:r>
        <m:r>
          <m:t>l</m:t>
        </m:r>
        <m:r>
          <m:t>i</m:t>
        </m:r>
        <m:r>
          <m:t>o</m:t>
        </m:r>
        <m:r>
          <m:t>n</m:t>
        </m:r>
        <m:r>
          <m:t>o</m:t>
        </m:r>
        <m:r>
          <m:t>f</m:t>
        </m:r>
        <m:r>
          <m:t>s</m:t>
        </m:r>
        <m:r>
          <m:t>e</m:t>
        </m:r>
        <m:r>
          <m:t>n</m:t>
        </m:r>
        <m:r>
          <m:t>i</m:t>
        </m:r>
        <m:r>
          <m:t>o</m:t>
        </m:r>
        <m:r>
          <m:t>r</m:t>
        </m:r>
        <m:r>
          <m:t>n</m:t>
        </m:r>
        <m:r>
          <m:t>o</m:t>
        </m:r>
        <m:r>
          <m:t>t</m:t>
        </m:r>
        <m:r>
          <m:t>e</m:t>
        </m:r>
        <m:r>
          <m:t>s</m:t>
        </m:r>
        <m:r>
          <m:rPr>
            <m:sty m:val="p"/>
          </m:rPr>
          <m:t>,</m:t>
        </m:r>
        <m:r>
          <m:t>a</m:t>
        </m:r>
        <m:r>
          <m:t>n</m:t>
        </m:r>
        <m:r>
          <m:t>d</m:t>
        </m:r>
        <m:r>
          <m:t>c</m:t>
        </m:r>
        <m:r>
          <m:t>o</m:t>
        </m:r>
        <m:r>
          <m:t>m</m:t>
        </m:r>
        <m:r>
          <m:t>m</m:t>
        </m:r>
        <m:r>
          <m:t>e</m:t>
        </m:r>
        <m:r>
          <m:t>r</m:t>
        </m:r>
        <m:r>
          <m:t>c</m:t>
        </m:r>
        <m:r>
          <m:t>i</m:t>
        </m:r>
        <m:r>
          <m:t>a</m:t>
        </m:r>
        <m:r>
          <m:t>l</m:t>
        </m:r>
        <m:r>
          <m:t>p</m:t>
        </m:r>
        <m:r>
          <m:t>a</m:t>
        </m:r>
        <m:r>
          <m:t>p</m:t>
        </m:r>
        <m:r>
          <m:t>e</m:t>
        </m:r>
        <m:r>
          <m:t>r</m:t>
        </m:r>
        <m:r>
          <m:rPr>
            <m:sty m:val="p"/>
          </m:rPr>
          <m:t>.</m:t>
        </m:r>
        <m:r>
          <m:t>C</m:t>
        </m:r>
        <m:r>
          <m:t>o</m:t>
        </m:r>
        <m:r>
          <m:t>m</m:t>
        </m:r>
        <m:r>
          <m:t>i</m:t>
        </m:r>
        <m:r>
          <m:t>n</m:t>
        </m:r>
        <m:r>
          <m:t>g</m:t>
        </m:r>
        <m:r>
          <m:t>i</m:t>
        </m:r>
        <m:r>
          <m:t>n</m:t>
        </m:r>
        <m:r>
          <m:t>t</m:t>
        </m:r>
        <m:r>
          <m:t>o</m:t>
        </m:r>
        <m:r>
          <m:t>Q</m:t>
        </m:r>
        <m:r>
          <m:t>2</m:t>
        </m:r>
        <m:r>
          <m:rPr>
            <m:sty m:val="p"/>
          </m:rPr>
          <m:t>,</m:t>
        </m:r>
        <m:r>
          <m:t>H</m:t>
        </m:r>
        <m:r>
          <m:t>u</m:t>
        </m:r>
        <m:r>
          <m:t>b</m:t>
        </m:r>
        <m:r>
          <m:t>b</m:t>
        </m:r>
        <m:r>
          <m:t>e</m:t>
        </m:r>
        <m:r>
          <m:t>l</m:t>
        </m:r>
        <m:sSup>
          <m:e>
            <m:r>
              <m:t>l</m:t>
            </m:r>
          </m:e>
          <m:sup>
            <m:r>
              <m:rPr>
                <m:sty m:val="p"/>
              </m:rPr>
              <m:t>′</m:t>
            </m:r>
          </m:sup>
        </m:sSup>
        <m:r>
          <m:t>s</m:t>
        </m:r>
        <m:r>
          <m:t>b</m:t>
        </m:r>
        <m:r>
          <m:t>a</m:t>
        </m:r>
        <m:r>
          <m:t>l</m:t>
        </m:r>
        <m:r>
          <m:t>a</m:t>
        </m:r>
        <m:r>
          <m:t>n</m:t>
        </m:r>
        <m:r>
          <m:t>c</m:t>
        </m:r>
        <m:r>
          <m:t>e</m:t>
        </m:r>
        <m:r>
          <m:t>s</m:t>
        </m:r>
        <m:r>
          <m:t>h</m:t>
        </m:r>
        <m:r>
          <m:t>e</m:t>
        </m:r>
        <m:r>
          <m:t>e</m:t>
        </m:r>
        <m:r>
          <m:t>t</m:t>
        </m:r>
        <m:r>
          <m:t>a</m:t>
        </m:r>
        <m:r>
          <m:t>l</m:t>
        </m:r>
        <m:r>
          <m:t>r</m:t>
        </m:r>
        <m:r>
          <m:t>e</m:t>
        </m:r>
        <m:r>
          <m:t>a</m:t>
        </m:r>
        <m:r>
          <m:t>d</m:t>
        </m:r>
        <m:r>
          <m:t>y</m:t>
        </m:r>
        <m:r>
          <m:t>s</m:t>
        </m:r>
        <m:r>
          <m:t>h</m:t>
        </m:r>
        <m:r>
          <m:t>o</m:t>
        </m:r>
        <m:r>
          <m:t>w</m:t>
        </m:r>
        <m:r>
          <m:t>e</m:t>
        </m:r>
        <m:r>
          <m:t>d</m:t>
        </m:r>
        <m:r>
          <m:t>r</m:t>
        </m:r>
        <m:r>
          <m:t>i</m:t>
        </m:r>
        <m:r>
          <m:t>s</m:t>
        </m:r>
        <m:r>
          <m:t>i</m:t>
        </m:r>
        <m:r>
          <m:t>n</m:t>
        </m:r>
        <m:r>
          <m:t>g</m:t>
        </m:r>
        <m:r>
          <m:t>l</m:t>
        </m:r>
        <m:r>
          <m:t>e</m:t>
        </m:r>
        <m:r>
          <m:t>v</m:t>
        </m:r>
        <m:r>
          <m:t>e</m:t>
        </m:r>
        <m:r>
          <m:t>r</m:t>
        </m:r>
        <m:r>
          <m:t>a</m:t>
        </m:r>
        <m:r>
          <m:t>g</m:t>
        </m:r>
        <m:r>
          <m:t>e</m:t>
        </m:r>
        <m:r>
          <m:rPr>
            <m:sty m:val="p"/>
          </m:rPr>
          <m:t>—</m:t>
        </m:r>
        <m:r>
          <m:t>n</m:t>
        </m:r>
        <m:r>
          <m:t>e</m:t>
        </m:r>
        <m:r>
          <m:t>t</m:t>
        </m:r>
        <m:r>
          <m:t>d</m:t>
        </m:r>
        <m:r>
          <m:t>e</m:t>
        </m:r>
        <m:r>
          <m:t>b</m:t>
        </m:r>
        <m:r>
          <m:t>t</m:t>
        </m:r>
        <m:r>
          <m:rPr>
            <m:sty m:val="p"/>
          </m:rPr>
          <m:t>−</m:t>
        </m:r>
        <m:r>
          <m:t>t</m:t>
        </m:r>
        <m:r>
          <m:t>o</m:t>
        </m:r>
        <m:r>
          <m:rPr>
            <m:sty m:val="p"/>
          </m:rPr>
          <m:t>−</m:t>
        </m:r>
        <m:r>
          <m:t>c</m:t>
        </m:r>
        <m:r>
          <m:t>a</m:t>
        </m:r>
        <m:r>
          <m:t>p</m:t>
        </m:r>
        <m:r>
          <m:t>i</m:t>
        </m:r>
        <m:r>
          <m:t>t</m:t>
        </m:r>
        <m:r>
          <m:t>a</m:t>
        </m:r>
        <m:r>
          <m:t>l</m:t>
        </m:r>
        <m:r>
          <m:t>m</m:t>
        </m:r>
        <m:r>
          <m:t>o</m:t>
        </m:r>
        <m:r>
          <m:t>v</m:t>
        </m:r>
        <m:r>
          <m:t>e</m:t>
        </m:r>
        <m:r>
          <m:t>d</m:t>
        </m:r>
        <m:r>
          <m:t>f</m:t>
        </m:r>
        <m:r>
          <m:t>r</m:t>
        </m:r>
        <m:r>
          <m:t>o</m:t>
        </m:r>
        <m:r>
          <m:t>m</m:t>
        </m:r>
        <m:r>
          <m:t>28</m:t>
        </m:r>
      </m:oMath>
      <w:r>
        <w:t xml:space="preserve">2.8B of incremental acquisition financing layered on, watch for updated leverage ratios, higher interest expense guidance, and any commentary on capital allocation priorities (buybacks were paused/reduced with $168 million repurchased in Q1 versus a more constrained pace expected once NSI debt closed).</w:t>
      </w:r>
    </w:p>
    <w:p>
      <w:pPr>
        <w:pStyle w:val="BodyText"/>
      </w:pPr>
      <w:r>
        <w:rPr>
          <w:b/>
          <w:bCs/>
        </w:rPr>
        <w:t xml:space="preserve">Capital returns.</w:t>
      </w:r>
      <w:r>
        <w:t xml:space="preserve"> </w:t>
      </w:r>
      <w:r>
        <w:t xml:space="preserve">In Q1, Hubbell repurchased $168 million worth of shares in the first quarter at a dollar cost average below $500 per share, which management said would be "neutral to 2026 earnings, as a lower share count will be offset by higher interest, but... expected to provide us with earnings accretion in 2027." With the NSI deal now closed and debt-funded, buyback pace for Q2/Q3 will be a focus.</w:t>
      </w:r>
    </w:p>
    <w:bookmarkEnd w:id="11"/>
    <w:bookmarkStart w:id="12" w:name="X48645bba3f52ae39db959594445465fd81d18c2"/>
    <w:p>
      <w:pPr>
        <w:pStyle w:val="Heading2"/>
      </w:pPr>
      <w:r>
        <w:t xml:space="preserve">4. Financial Scorecard: Q1 2026 vs. Q2 2025 vs. Q2 2026 Consensus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 2026 (actual)</w:t>
            </w:r>
          </w:p>
        </w:tc>
        <w:tc>
          <w:tcPr/>
          <w:p>
            <w:pPr>
              <w:pStyle w:val="Compact"/>
            </w:pPr>
            <w:r>
              <w:t xml:space="preserve">Q2 2025 (actual)</w:t>
            </w:r>
          </w:p>
        </w:tc>
        <w:tc>
          <w:tcPr/>
          <w:p>
            <w:pPr>
              <w:pStyle w:val="Compact"/>
            </w:pPr>
            <w:r>
              <w:t xml:space="preserve">Q2 2026 (consensus)</w:t>
            </w:r>
          </w:p>
        </w:tc>
      </w:tr>
      <w:tr>
        <w:tc>
          <w:tcPr/>
          <w:p>
            <w:pPr>
              <w:pStyle w:val="Compact"/>
            </w:pPr>
            <w:r>
              <w:t xml:space="preserve">Net sales</w:t>
            </w:r>
          </w:p>
        </w:tc>
        <w:tc>
          <w:tcPr/>
          <w:p>
            <w:pPr>
              <w:pStyle w:val="Compact"/>
            </w:pPr>
            <w:r>
              <w:t xml:space="preserve">$1,516.7M (+11% y/y)</w:t>
            </w:r>
          </w:p>
        </w:tc>
        <w:tc>
          <w:tcPr/>
          <w:p>
            <w:pPr>
              <w:pStyle w:val="Compact"/>
            </w:pPr>
            <w:r>
              <w:t xml:space="preserve">$1,484.3M (+2% y/y)</w:t>
            </w:r>
          </w:p>
        </w:tc>
        <w:tc>
          <w:tcPr/>
          <w:p>
            <w:pPr>
              <w:pStyle w:val="Compact"/>
            </w:pPr>
            <w:r>
              <w:t xml:space="preserve">~$1.6–1.7B (with NSI)</w:t>
            </w:r>
          </w:p>
        </w:tc>
      </w:tr>
      <w:tr>
        <w:tc>
          <w:tcPr/>
          <w:p>
            <w:pPr>
              <w:pStyle w:val="Compact"/>
            </w:pPr>
            <w:r>
              <w:t xml:space="preserve">Organic growth</w:t>
            </w:r>
          </w:p>
        </w:tc>
        <w:tc>
          <w:tcPr/>
          <w:p>
            <w:pPr>
              <w:pStyle w:val="Compact"/>
            </w:pPr>
            <w:r>
              <w:t xml:space="preserve">8.2%</w:t>
            </w:r>
          </w:p>
        </w:tc>
        <w:tc>
          <w:tcPr/>
          <w:p>
            <w:pPr>
              <w:pStyle w:val="Compact"/>
            </w:pPr>
            <w:r>
              <w:t xml:space="preserve">2.0%</w:t>
            </w:r>
          </w:p>
        </w:tc>
        <w:tc>
          <w:tcPr/>
          <w:p>
            <w:pPr>
              <w:pStyle w:val="Compact"/>
            </w:pPr>
            <w:r>
              <w:t xml:space="preserve">High single digit (guided)</w:t>
            </w:r>
          </w:p>
        </w:tc>
      </w:tr>
      <w:tr>
        <w:tc>
          <w:tcPr/>
          <w:p>
            <w:pPr>
              <w:pStyle w:val="Compact"/>
            </w:pPr>
            <w:r>
              <w:t xml:space="preserve">Adj. operating margin</w:t>
            </w:r>
          </w:p>
        </w:tc>
        <w:tc>
          <w:tcPr/>
          <w:p>
            <w:pPr>
              <w:pStyle w:val="Compact"/>
            </w:pPr>
            <w:r>
              <w:t xml:space="preserve">19.8% (+110bps)</w:t>
            </w:r>
          </w:p>
        </w:tc>
        <w:tc>
          <w:tcPr/>
          <w:p>
            <w:pPr>
              <w:pStyle w:val="Compact"/>
            </w:pPr>
            <w:r>
              <w:t xml:space="preserve">24.4% (+120bps)</w:t>
            </w:r>
          </w:p>
        </w:tc>
        <w:tc>
          <w:tcPr/>
          <w:p>
            <w:pPr>
              <w:pStyle w:val="Compact"/>
            </w:pPr>
            <w:r>
              <w:t xml:space="preserve">Flattish to modestly up</w:t>
            </w:r>
          </w:p>
        </w:tc>
      </w:tr>
      <w:tr>
        <w:tc>
          <w:tcPr/>
          <w:p>
            <w:pPr>
              <w:pStyle w:val="Compact"/>
            </w:pPr>
            <w:r>
              <w:t xml:space="preserve">Adj. diluted EPS</w:t>
            </w:r>
          </w:p>
        </w:tc>
        <w:tc>
          <w:tcPr/>
          <w:p>
            <w:pPr>
              <w:pStyle w:val="Compact"/>
            </w:pPr>
            <w:r>
              <w:t xml:space="preserve">$3.93 (+16% y/y)</w:t>
            </w:r>
          </w:p>
        </w:tc>
        <w:tc>
          <w:tcPr/>
          <w:p>
            <w:pPr>
              <w:pStyle w:val="Compact"/>
            </w:pPr>
            <w:r>
              <w:t xml:space="preserve">$4.93 (+11% y/y)</w:t>
            </w:r>
          </w:p>
        </w:tc>
        <w:tc>
          <w:tcPr/>
          <w:p>
            <w:pPr>
              <w:pStyle w:val="Compact"/>
            </w:pPr>
            <w:r>
              <w:t xml:space="preserve">~$5.32 (+7.9% y/y)</w:t>
            </w:r>
          </w:p>
        </w:tc>
      </w:tr>
      <w:tr>
        <w:tc>
          <w:tcPr/>
          <w:p>
            <w:pPr>
              <w:pStyle w:val="Compact"/>
            </w:pPr>
            <w:r>
              <w:t xml:space="preserve">Net debt / total capital</w:t>
            </w:r>
          </w:p>
        </w:tc>
        <w:tc>
          <w:tcPr/>
          <w:p>
            <w:pPr>
              <w:pStyle w:val="Compact"/>
            </w:pPr>
            <w:r>
              <w:t xml:space="preserve">31%</w:t>
            </w:r>
          </w:p>
        </w:tc>
        <w:tc>
          <w:tcPr/>
          <w:p>
            <w:pPr>
              <w:pStyle w:val="Compact"/>
            </w:pPr>
            <w:r>
              <w:t xml:space="preserve">25%</w:t>
            </w:r>
          </w:p>
        </w:tc>
        <w:tc>
          <w:tcPr/>
          <w:p>
            <w:pPr>
              <w:pStyle w:val="Compact"/>
            </w:pPr>
            <w:r>
              <w:t xml:space="preserve">Higher post-NSI</w:t>
            </w:r>
          </w:p>
        </w:tc>
      </w:tr>
    </w:tbl>
    <w:p>
      <w:pPr>
        <w:pStyle w:val="BodyText"/>
      </w:pPr>
      <w:r>
        <w:t xml:space="preserve">Note Hubbell's seasonal pattern — Q2 has historically been the strongest-margin quarter (Q2 2025 adjusted operating margin was 24.4% vs. 19.8% in Q1 2026), so sequential margin improvement is normal and expected.</w:t>
      </w:r>
    </w:p>
    <w:bookmarkEnd w:id="12"/>
    <w:bookmarkStart w:id="13" w:name="Xd531e4f4b8d868690afbeafcbb5c528481cfa3a"/>
    <w:p>
      <w:pPr>
        <w:pStyle w:val="Heading2"/>
      </w:pPr>
      <w:r>
        <w:t xml:space="preserve">5. Risks and Debate Points</w:t>
      </w:r>
    </w:p>
    <w:p>
      <w:pPr>
        <w:pStyle w:val="Compact"/>
        <w:numPr>
          <w:ilvl w:val="0"/>
          <w:numId w:val="1002"/>
        </w:numPr>
      </w:pPr>
      <w:r>
        <w:rPr>
          <w:b/>
          <w:bCs/>
        </w:rPr>
        <w:t xml:space="preserve">Valuation debate</w:t>
      </w:r>
      <w:r>
        <w:t xml:space="preserve">: One widely followed narrative pegs fair value at $550.77 per share, above the last close of $483.89, but the framing itself flags the stock as "full yet debated" post-NSI, meaning much of the good news (data center boom, T&amp;D supercycle, 765kV opportunity) may already be reflected in the multiple.</w:t>
      </w:r>
    </w:p>
    <w:p>
      <w:pPr>
        <w:pStyle w:val="Compact"/>
        <w:numPr>
          <w:ilvl w:val="0"/>
          <w:numId w:val="1002"/>
        </w:numPr>
      </w:pPr>
      <w:r>
        <w:rPr>
          <w:b/>
          <w:bCs/>
        </w:rPr>
        <w:t xml:space="preserve">Grid Automation/AMI</w:t>
      </w:r>
      <w:r>
        <w:t xml:space="preserve"> </w:t>
      </w:r>
      <w:r>
        <w:t xml:space="preserve">softness — needs to actually inflect positive as guided, not just decelerate its decline.</w:t>
      </w:r>
    </w:p>
    <w:p>
      <w:pPr>
        <w:pStyle w:val="Compact"/>
        <w:numPr>
          <w:ilvl w:val="0"/>
          <w:numId w:val="1002"/>
        </w:numPr>
      </w:pPr>
      <w:r>
        <w:rPr>
          <w:b/>
          <w:bCs/>
        </w:rPr>
        <w:t xml:space="preserve">Tariff/inflation volatility</w:t>
      </w:r>
      <w:r>
        <w:t xml:space="preserve"> </w:t>
      </w:r>
      <w:r>
        <w:t xml:space="preserve">— while management called the net tariff impact neutral for the year, any reacceleration in metals costs (copper, aluminum, steel) could pressure price/cost math further, especially with margin expansion guidance already trimmed to ~20bps for the year.</w:t>
      </w:r>
    </w:p>
    <w:p>
      <w:pPr>
        <w:pStyle w:val="Compact"/>
        <w:numPr>
          <w:ilvl w:val="0"/>
          <w:numId w:val="1002"/>
        </w:numPr>
      </w:pPr>
      <w:r>
        <w:rPr>
          <w:b/>
          <w:bCs/>
        </w:rPr>
        <w:t xml:space="preserve">Integration and leverage risk from NSI</w:t>
      </w:r>
      <w:r>
        <w:t xml:space="preserve"> </w:t>
      </w:r>
      <w:r>
        <w:t xml:space="preserve">— a $3B deal (larger than any prior Hubbell acquisition) funded with over $2.8B in new debt raises execution and balance-sheet risk if synergies or organic NSI growth disappoint.</w:t>
      </w:r>
    </w:p>
    <w:p>
      <w:pPr>
        <w:pStyle w:val="Compact"/>
        <w:numPr>
          <w:ilvl w:val="0"/>
          <w:numId w:val="1002"/>
        </w:numPr>
      </w:pPr>
      <w:r>
        <w:rPr>
          <w:b/>
          <w:bCs/>
        </w:rPr>
        <w:t xml:space="preserve">"Sell the news" pattern</w:t>
      </w:r>
      <w:r>
        <w:t xml:space="preserve"> </w:t>
      </w:r>
      <w:r>
        <w:t xml:space="preserve">— Hubbell stock fell nearly 7% on its Q1 print despite beating estimates and raising guidance, suggesting the bar for a positive reaction on Q2 (especially with NSI now layered in) may be high; investors will scrutinize forward commentary as much as the print itself.</w:t>
      </w:r>
    </w:p>
    <w:bookmarkEnd w:id="13"/>
    <w:bookmarkStart w:id="14" w:name="X49e34d9056703e0521ab3ce2e920b2c4ba97a36"/>
    <w:p>
      <w:pPr>
        <w:pStyle w:val="Heading2"/>
      </w:pPr>
      <w:r>
        <w:t xml:space="preserve">6. Bottom Line</w:t>
      </w:r>
    </w:p>
    <w:p>
      <w:pPr>
        <w:pStyle w:val="FirstParagraph"/>
      </w:pPr>
      <w:r>
        <w:t xml:space="preserve">Heading into Tuesday's report, Hubbell arrives with genuine operational momentum — double-digit growth in Utility Solutions' grid infrastructure business, a rapidly scaling data center franchise, and an emerging multi-year 765kV transmission opportunity — but also a materially changed balance sheet and cost structure following the debt-funded NSI acquisition that closed mid-quarter. The most important things to watch are less about the historical beat/miss on EPS (Hubbell has topped estimates for several consecutive quarters) and more about: (1) confirmation that Grid Automation has bottomed and inflected positive, (2) sustainability of the ~25%+ data center growth trajectory, (3) early commentary on NSI integration and updated 2026 guidance incorporating the deal, and (4) leverage/interest expense trajectory now that acquisition financing is in place.</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2026-07-28T00:43:30Z</dcterms:created>
  <dcterms:modified xsi:type="dcterms:W3CDTF">2026-07-28T00:43:30Z</dcterms:modified>
</cp:coreProperties>
</file>

<file path=docProps/custom.xml><?xml version="1.0" encoding="utf-8"?>
<Properties xmlns="http://schemas.openxmlformats.org/officeDocument/2006/custom-properties" xmlns:vt="http://schemas.openxmlformats.org/officeDocument/2006/docPropsVTypes"/>
</file>