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hubb-2026-q2-earnings-preview"/>
    <w:p>
      <w:pPr>
        <w:pStyle w:val="Heading1"/>
      </w:pPr>
      <w:r>
        <w:t xml:space="preserve">HUBB 2026 Q2 Earnings Preview</w:t>
      </w:r>
    </w:p>
    <w:p>
      <w:pPr>
        <w:pStyle w:val="BlockText"/>
      </w:pPr>
      <w:r>
        <w:rPr>
          <w:b/>
          <w:bCs/>
        </w:rPr>
        <w:t xml:space="preserve">Timing note:</w:t>
      </w:r>
      <w:r>
        <w:t xml:space="preserve"> </w:t>
      </w:r>
      <w:r>
        <w:t xml:space="preserve">Hubbell is scheduled to report</w:t>
      </w:r>
      <w:r>
        <w:t xml:space="preserve"> </w:t>
      </w:r>
      <w:r>
        <w:rPr>
          <w:b/>
          <w:bCs/>
        </w:rPr>
        <w:t xml:space="preserve">before the market opens today, Tuesday, July 28, 2026</w:t>
      </w:r>
      <w:r>
        <w:t xml:space="preserve">, rather than tomorrow. The earnings call is scheduled for</w:t>
      </w:r>
      <w:r>
        <w:t xml:space="preserve"> </w:t>
      </w:r>
      <w:r>
        <w:rPr>
          <w:b/>
          <w:bCs/>
        </w:rPr>
        <w:t xml:space="preserve">10:00 a.m. ET</w:t>
      </w:r>
      <w:r>
        <w:t xml:space="preserve">. (</w:t>
      </w:r>
      <w:hyperlink r:id="rId9">
        <w:r>
          <w:rPr>
            <w:rStyle w:val="Hyperlink"/>
          </w:rPr>
          <w:t xml:space="preserve">globenewswire.com</w:t>
        </w:r>
      </w:hyperlink>
      <w:r>
        <w:t xml:space="preserve">)</w:t>
      </w:r>
    </w:p>
    <w:bookmarkStart w:id="10" w:name="investment-view-going-into-the-report"/>
    <w:p>
      <w:pPr>
        <w:pStyle w:val="Heading2"/>
      </w:pPr>
      <w:r>
        <w:t xml:space="preserve">Investment view going into the report</w:t>
      </w:r>
    </w:p>
    <w:p>
      <w:pPr>
        <w:pStyle w:val="FirstParagraph"/>
      </w:pPr>
      <w:r>
        <w:t xml:space="preserve">This quarter is less about whether Hubbell can produce another headline beat and more about three questions:</w:t>
      </w:r>
    </w:p>
    <w:p>
      <w:pPr>
        <w:pStyle w:val="Compact"/>
        <w:numPr>
          <w:ilvl w:val="0"/>
          <w:numId w:val="1001"/>
        </w:numPr>
      </w:pPr>
      <w:r>
        <w:rPr>
          <w:b/>
          <w:bCs/>
        </w:rPr>
        <w:t xml:space="preserve">Is underlying growth in utility transmission, distribution and data centers remaining as strong as Q1 suggested?</w:t>
      </w:r>
    </w:p>
    <w:p>
      <w:pPr>
        <w:pStyle w:val="Compact"/>
        <w:numPr>
          <w:ilvl w:val="0"/>
          <w:numId w:val="1001"/>
        </w:numPr>
      </w:pPr>
      <w:r>
        <w:rPr>
          <w:b/>
          <w:bCs/>
        </w:rPr>
        <w:t xml:space="preserve">Can price and productivity continue to offset metals inflation without materially diluting margins?</w:t>
      </w:r>
    </w:p>
    <w:p>
      <w:pPr>
        <w:pStyle w:val="Compact"/>
        <w:numPr>
          <w:ilvl w:val="0"/>
          <w:numId w:val="1001"/>
        </w:numPr>
      </w:pPr>
      <w:r>
        <w:rPr>
          <w:b/>
          <w:bCs/>
        </w:rPr>
        <w:t xml:space="preserve">How much earnings, debt and integration risk should investors assign to the newly completed NSI Industries acquisition?</w:t>
      </w:r>
    </w:p>
    <w:p>
      <w:pPr>
        <w:pStyle w:val="FirstParagraph"/>
      </w:pPr>
      <w:r>
        <w:t xml:space="preserve">The setup is constructive, but the bar is not low. HUBB closed July 27 at</w:t>
      </w:r>
      <w:r>
        <w:t xml:space="preserve"> </w:t>
      </w:r>
      <w:r>
        <w:rPr>
          <w:b/>
          <w:bCs/>
        </w:rPr>
        <w:t xml:space="preserve">$498</w:t>
      </w:r>
      <w:r>
        <w:t xml:space="preserve">, approximately</w:t>
      </w:r>
      <w:r>
        <w:t xml:space="preserve"> </w:t>
      </w:r>
      <w:r>
        <w:rPr>
          <w:b/>
          <w:bCs/>
        </w:rPr>
        <w:t xml:space="preserve">25.4x</w:t>
      </w:r>
      <w:r>
        <w:t xml:space="preserve"> </w:t>
      </w:r>
      <w:r>
        <w:t xml:space="preserve">the midpoint of its</w:t>
      </w:r>
      <w:r>
        <w:t xml:space="preserve"> </w:t>
      </w:r>
      <w:r>
        <w:rPr>
          <w:i/>
          <w:iCs/>
        </w:rPr>
        <w:t xml:space="preserve">pre-NSI</w:t>
      </w:r>
      <w:r>
        <w:t xml:space="preserve"> </w:t>
      </w:r>
      <w:r>
        <w:t xml:space="preserve">2026 adjusted EPS guidance. The stock is up roughly 8% year to date but remains about 9% below its late-April level. Investors will probably require strong organic results—not merely an acquisition-driven guidance increase.</w:t>
      </w:r>
    </w:p>
    <w:p>
      <w:r>
        <w:pict>
          <v:rect style="width:0;height:1.5pt" o:hralign="center" o:hrstd="t" o:hr="t"/>
        </w:pict>
      </w:r>
    </w:p>
    <w:bookmarkEnd w:id="10"/>
    <w:bookmarkStart w:id="13" w:name="headline-expectations"/>
    <w:p>
      <w:pPr>
        <w:pStyle w:val="Heading2"/>
      </w:pPr>
      <w:r>
        <w:t xml:space="preserve">Headline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t xml:space="preserve">Approximately</w:t>
            </w:r>
            <w:r>
              <w:t xml:space="preserve"> </w:t>
            </w:r>
            <w:r>
              <w:rPr>
                <w:b/>
                <w:bCs/>
              </w:rPr>
              <w:t xml:space="preserve">$1.68 billion</w:t>
            </w:r>
          </w:p>
        </w:tc>
        <w:tc>
          <w:tcPr/>
          <w:p>
            <w:pPr>
              <w:pStyle w:val="Compact"/>
              <w:jc w:val="right"/>
            </w:pPr>
            <w:r>
              <w:t xml:space="preserve">$1.484 billion</w:t>
            </w:r>
          </w:p>
        </w:tc>
        <w:tc>
          <w:tcPr/>
          <w:p>
            <w:pPr>
              <w:pStyle w:val="Compact"/>
              <w:jc w:val="right"/>
            </w:pPr>
            <w:r>
              <w:t xml:space="preserve">Approximately</w:t>
            </w:r>
            <w:r>
              <w:t xml:space="preserve"> </w:t>
            </w:r>
            <w:r>
              <w:rPr>
                <w:b/>
                <w:bCs/>
              </w:rPr>
              <w:t xml:space="preserve">13%</w:t>
            </w:r>
          </w:p>
        </w:tc>
      </w:tr>
      <w:tr>
        <w:tc>
          <w:tcPr/>
          <w:p>
            <w:pPr>
              <w:pStyle w:val="Compact"/>
            </w:pPr>
            <w:r>
              <w:t xml:space="preserve">Adjusted EPS</w:t>
            </w:r>
          </w:p>
        </w:tc>
        <w:tc>
          <w:tcPr/>
          <w:p>
            <w:pPr>
              <w:pStyle w:val="Compact"/>
              <w:jc w:val="right"/>
            </w:pPr>
            <w:r>
              <w:t xml:space="preserve">Approximately</w:t>
            </w:r>
            <w:r>
              <w:t xml:space="preserve"> </w:t>
            </w:r>
            <m:oMath>
              <m:r>
                <m:t>5.39</m:t>
              </m:r>
              <m:r>
                <m:rPr>
                  <m:sty m:val="p"/>
                </m:rPr>
                <m:t>–</m:t>
              </m:r>
            </m:oMath>
            <w:r>
              <w:rPr>
                <w:b/>
                <w:bCs/>
              </w:rPr>
              <w:t xml:space="preserve">5.40</w:t>
            </w:r>
          </w:p>
        </w:tc>
        <w:tc>
          <w:tcPr/>
          <w:p>
            <w:pPr>
              <w:pStyle w:val="Compact"/>
              <w:jc w:val="right"/>
            </w:pPr>
            <w:r>
              <w:t xml:space="preserve">$4.93</w:t>
            </w:r>
          </w:p>
        </w:tc>
        <w:tc>
          <w:tcPr/>
          <w:p>
            <w:pPr>
              <w:pStyle w:val="Compact"/>
              <w:jc w:val="right"/>
            </w:pPr>
            <w:r>
              <w:t xml:space="preserve">Approximately</w:t>
            </w:r>
            <w:r>
              <w:t xml:space="preserve"> </w:t>
            </w:r>
            <w:r>
              <w:rPr>
                <w:b/>
                <w:bCs/>
              </w:rPr>
              <w:t xml:space="preserve">9%–10%</w:t>
            </w:r>
          </w:p>
        </w:tc>
      </w:tr>
      <w:tr>
        <w:tc>
          <w:tcPr/>
          <w:p>
            <w:pPr>
              <w:pStyle w:val="Compact"/>
            </w:pPr>
            <w:r>
              <w:t xml:space="preserve">Prior full-year adjusted EPS guidance</w:t>
            </w:r>
          </w:p>
        </w:tc>
        <w:tc>
          <w:tcPr/>
          <w:p>
            <w:pPr>
              <w:pStyle w:val="Compact"/>
              <w:jc w:val="right"/>
            </w:pPr>
            <m:oMath>
              <m:r>
                <m:t>19.30</m:t>
              </m:r>
              <m:r>
                <m:rPr>
                  <m:sty m:val="p"/>
                </m:rPr>
                <m:t>–</m:t>
              </m:r>
            </m:oMath>
            <w:r>
              <w:rPr>
                <w:b/>
                <w:bCs/>
              </w:rPr>
              <w:t xml:space="preserve">19.85</w:t>
            </w:r>
          </w:p>
        </w:tc>
        <w:tc>
          <w:tcPr/>
          <w:p>
            <w:pPr>
              <w:pStyle w:val="Compact"/>
              <w:jc w:val="right"/>
            </w:pPr>
            <w:r>
              <w:t xml:space="preserve">—</w:t>
            </w:r>
          </w:p>
        </w:tc>
        <w:tc>
          <w:tcPr/>
          <w:p>
            <w:pPr>
              <w:pStyle w:val="Compact"/>
              <w:jc w:val="right"/>
            </w:pPr>
            <w:r>
              <w:t xml:space="preserve">—</w:t>
            </w:r>
          </w:p>
        </w:tc>
      </w:tr>
      <w:tr>
        <w:tc>
          <w:tcPr/>
          <w:p>
            <w:pPr>
              <w:pStyle w:val="Compact"/>
            </w:pPr>
            <w:r>
              <w:t xml:space="preserve">Prior total sales-growth guidance</w:t>
            </w:r>
          </w:p>
        </w:tc>
        <w:tc>
          <w:tcPr/>
          <w:p>
            <w:pPr>
              <w:pStyle w:val="Compact"/>
              <w:jc w:val="right"/>
            </w:pPr>
            <w:r>
              <w:rPr>
                <w:b/>
                <w:bCs/>
              </w:rPr>
              <w:t xml:space="preserve">8%–11%</w:t>
            </w:r>
          </w:p>
        </w:tc>
        <w:tc>
          <w:tcPr/>
          <w:p>
            <w:pPr>
              <w:pStyle w:val="Compact"/>
              <w:jc w:val="right"/>
            </w:pPr>
            <w:r>
              <w:t xml:space="preserve">—</w:t>
            </w:r>
          </w:p>
        </w:tc>
        <w:tc>
          <w:tcPr/>
          <w:p>
            <w:pPr>
              <w:pStyle w:val="Compact"/>
              <w:jc w:val="right"/>
            </w:pPr>
            <w:r>
              <w:t xml:space="preserve">—</w:t>
            </w:r>
          </w:p>
        </w:tc>
      </w:tr>
      <w:tr>
        <w:tc>
          <w:tcPr/>
          <w:p>
            <w:pPr>
              <w:pStyle w:val="Compact"/>
            </w:pPr>
            <w:r>
              <w:t xml:space="preserve">Prior organic sales-growth guidance</w:t>
            </w:r>
          </w:p>
        </w:tc>
        <w:tc>
          <w:tcPr/>
          <w:p>
            <w:pPr>
              <w:pStyle w:val="Compact"/>
              <w:jc w:val="right"/>
            </w:pPr>
            <w:r>
              <w:rPr>
                <w:b/>
                <w:bCs/>
              </w:rPr>
              <w:t xml:space="preserve">6%–9%</w:t>
            </w:r>
          </w:p>
        </w:tc>
        <w:tc>
          <w:tcPr/>
          <w:p>
            <w:pPr>
              <w:pStyle w:val="Compact"/>
              <w:jc w:val="right"/>
            </w:pPr>
            <w:r>
              <w:t xml:space="preserve">—</w:t>
            </w:r>
          </w:p>
        </w:tc>
        <w:tc>
          <w:tcPr/>
          <w:p>
            <w:pPr>
              <w:pStyle w:val="Compact"/>
              <w:jc w:val="right"/>
            </w:pPr>
            <w:r>
              <w:t xml:space="preserve">—</w:t>
            </w:r>
          </w:p>
        </w:tc>
      </w:tr>
    </w:tbl>
    <w:p>
      <w:pPr>
        <w:pStyle w:val="BodyText"/>
      </w:pPr>
      <w:r>
        <w:t xml:space="preserve">Current published estimates point to approximately $5.40 of adjusted EPS and $1.68 billion of revenue. (</w:t>
      </w:r>
      <w:hyperlink r:id="rId11">
        <w:r>
          <w:rPr>
            <w:rStyle w:val="Hyperlink"/>
          </w:rPr>
          <w:t xml:space="preserve">benzinga.com</w:t>
        </w:r>
      </w:hyperlink>
      <w:r>
        <w:t xml:space="preserve">)</w:t>
      </w:r>
    </w:p>
    <w:p>
      <w:pPr>
        <w:pStyle w:val="BodyText"/>
      </w:pPr>
      <w:r>
        <w:t xml:space="preserve">The revenue comparison needs care because Hubbell completed its acquisition of NSI on</w:t>
      </w:r>
      <w:r>
        <w:t xml:space="preserve"> </w:t>
      </w:r>
      <w:r>
        <w:rPr>
          <w:b/>
          <w:bCs/>
        </w:rPr>
        <w:t xml:space="preserve">June 9</w:t>
      </w:r>
      <w:r>
        <w:t xml:space="preserve">. Q2 therefore contains roughly three weeks of NSI revenue. Using NSI’s indicated annual revenue of approximately</w:t>
      </w:r>
      <w:r>
        <w:t xml:space="preserve"> </w:t>
      </w:r>
      <m:oMath>
        <m:r>
          <m:t>570</m:t>
        </m:r>
        <m:r>
          <m:t>m</m:t>
        </m:r>
        <m:r>
          <m:t>i</m:t>
        </m:r>
        <m:r>
          <m:t>l</m:t>
        </m:r>
        <m:r>
          <m:t>l</m:t>
        </m:r>
        <m:r>
          <m:t>i</m:t>
        </m:r>
        <m:r>
          <m:t>o</m:t>
        </m:r>
        <m:r>
          <m:t>n</m:t>
        </m:r>
        <m:r>
          <m:t>a</m:t>
        </m:r>
        <m:r>
          <m:t>s</m:t>
        </m:r>
        <m:r>
          <m:t>a</m:t>
        </m:r>
        <m:r>
          <m:t>r</m:t>
        </m:r>
        <m:r>
          <m:t>o</m:t>
        </m:r>
        <m:r>
          <m:t>u</m:t>
        </m:r>
        <m:r>
          <m:t>g</m:t>
        </m:r>
        <m:r>
          <m:t>h</m:t>
        </m:r>
        <m:r>
          <m:t>r</m:t>
        </m:r>
        <m:r>
          <m:t>u</m:t>
        </m:r>
        <m:r>
          <m:t>n</m:t>
        </m:r>
        <m:r>
          <m:t>r</m:t>
        </m:r>
        <m:r>
          <m:t>a</m:t>
        </m:r>
        <m:r>
          <m:t>t</m:t>
        </m:r>
        <m:r>
          <m:t>e</m:t>
        </m:r>
        <m:r>
          <m:rPr>
            <m:sty m:val="p"/>
          </m:rPr>
          <m:t>,</m:t>
        </m:r>
        <m:r>
          <m:t>i</m:t>
        </m:r>
        <m:r>
          <m:t>t</m:t>
        </m:r>
        <m:r>
          <m:t>c</m:t>
        </m:r>
        <m:r>
          <m:t>o</m:t>
        </m:r>
        <m:r>
          <m:t>u</m:t>
        </m:r>
        <m:r>
          <m:t>l</m:t>
        </m:r>
        <m:r>
          <m:t>d</m:t>
        </m:r>
        <m:r>
          <m:t>a</m:t>
        </m:r>
        <m:r>
          <m:t>d</m:t>
        </m:r>
        <m:r>
          <m:t>d</m:t>
        </m:r>
        <m:r>
          <m:t>a</m:t>
        </m:r>
        <m:r>
          <m:t>r</m:t>
        </m:r>
        <m:r>
          <m:t>o</m:t>
        </m:r>
        <m:r>
          <m:t>u</m:t>
        </m:r>
        <m:r>
          <m:t>n</m:t>
        </m:r>
        <m:r>
          <m:t>d</m:t>
        </m:r>
        <m:r>
          <m:rPr>
            <m:sty m:val="p"/>
          </m:rPr>
          <m:t>*</m:t>
        </m:r>
        <m:r>
          <m:rPr>
            <m:sty m:val="p"/>
          </m:rPr>
          <m:t>*</m:t>
        </m:r>
      </m:oMath>
      <w:r>
        <w:t xml:space="preserve">30–$35 million** to Q2 sales before considering seasonality or purchase-accounting effects. (</w:t>
      </w:r>
      <w:hyperlink r:id="rId12">
        <w:r>
          <w:rPr>
            <w:rStyle w:val="Hyperlink"/>
          </w:rPr>
          <w:t xml:space="preserve">hubbell.gcs-web.com</w:t>
        </w:r>
      </w:hyperlink>
      <w:r>
        <w:t xml:space="preserve">)</w:t>
      </w:r>
    </w:p>
    <w:p>
      <w:pPr>
        <w:pStyle w:val="BodyText"/>
      </w:pPr>
      <w:r>
        <w:t xml:space="preserve">That suggests consensus still requires roughly</w:t>
      </w:r>
      <w:r>
        <w:t xml:space="preserve"> </w:t>
      </w:r>
      <w:r>
        <w:rPr>
          <w:b/>
          <w:bCs/>
        </w:rPr>
        <w:t xml:space="preserve">low-double-digit growth in the legacy business plus earlier acquisitions</w:t>
      </w:r>
      <w:r>
        <w:t xml:space="preserve">, not simply NSI contribution.</w:t>
      </w:r>
    </w:p>
    <w:p>
      <w:r>
        <w:pict>
          <v:rect style="width:0;height:1.5pt" o:hralign="center" o:hrstd="t" o:hr="t"/>
        </w:pict>
      </w:r>
    </w:p>
    <w:bookmarkEnd w:id="13"/>
    <w:bookmarkStart w:id="17" w:name="X3c8e595c0f64841a26803d632edbad27af84d3f"/>
    <w:p>
      <w:pPr>
        <w:pStyle w:val="Heading2"/>
      </w:pPr>
      <w:r>
        <w:t xml:space="preserve">1. Utility Solutions remains the central earnings driver</w:t>
      </w:r>
    </w:p>
    <w:p>
      <w:pPr>
        <w:pStyle w:val="FirstParagraph"/>
      </w:pPr>
      <w:r>
        <w:t xml:space="preserve">Utility Solutions entered Q2 with strong momentum. In Q1:</w:t>
      </w:r>
    </w:p>
    <w:p>
      <w:pPr>
        <w:pStyle w:val="Compact"/>
        <w:numPr>
          <w:ilvl w:val="0"/>
          <w:numId w:val="1002"/>
        </w:numPr>
      </w:pPr>
      <w:r>
        <w:t xml:space="preserve">Segment sales increased 11%.</w:t>
      </w:r>
    </w:p>
    <w:p>
      <w:pPr>
        <w:pStyle w:val="Compact"/>
        <w:numPr>
          <w:ilvl w:val="0"/>
          <w:numId w:val="1002"/>
        </w:numPr>
      </w:pPr>
      <w:r>
        <w:t xml:space="preserve">Organic growth was approximately 7%.</w:t>
      </w:r>
    </w:p>
    <w:p>
      <w:pPr>
        <w:pStyle w:val="Compact"/>
        <w:numPr>
          <w:ilvl w:val="0"/>
          <w:numId w:val="1002"/>
        </w:numPr>
      </w:pPr>
      <w:r>
        <w:t xml:space="preserve">Grid Infrastructure grew approximately 18% on a reported basis.</w:t>
      </w:r>
    </w:p>
    <w:p>
      <w:pPr>
        <w:pStyle w:val="Compact"/>
        <w:numPr>
          <w:ilvl w:val="0"/>
          <w:numId w:val="1002"/>
        </w:numPr>
      </w:pPr>
      <w:r>
        <w:t xml:space="preserve">Grid Automation declined approximately 7%.</w:t>
      </w:r>
    </w:p>
    <w:p>
      <w:pPr>
        <w:pStyle w:val="Compact"/>
        <w:numPr>
          <w:ilvl w:val="0"/>
          <w:numId w:val="1002"/>
        </w:numPr>
      </w:pPr>
      <w:r>
        <w:t xml:space="preserve">Adjusted segment margin expanded to 21.8% from 19.9%.</w:t>
      </w:r>
    </w:p>
    <w:p>
      <w:pPr>
        <w:pStyle w:val="FirstParagraph"/>
      </w:pPr>
      <w:r>
        <w:t xml:space="preserve">Management attributed the strength to transmission and substation investment associated with load growth, along with distribution-grid hardening and resiliency spending. (</w:t>
      </w:r>
      <w:hyperlink r:id="rId14">
        <w:r>
          <w:rPr>
            <w:rStyle w:val="Hyperlink"/>
          </w:rPr>
          <w:t xml:space="preserve">hubbell.gcs-web.com</w:t>
        </w:r>
      </w:hyperlink>
      <w:r>
        <w:t xml:space="preserve">)</w:t>
      </w:r>
    </w:p>
    <w:bookmarkStart w:id="15" w:name="what-matters-this-quarter"/>
    <w:p>
      <w:pPr>
        <w:pStyle w:val="Heading3"/>
      </w:pPr>
      <w:r>
        <w:t xml:space="preserve">What matters this quarter</w:t>
      </w:r>
    </w:p>
    <w:p>
      <w:pPr>
        <w:pStyle w:val="FirstParagraph"/>
      </w:pPr>
      <w:r>
        <w:rPr>
          <w:b/>
          <w:bCs/>
        </w:rPr>
        <w:t xml:space="preserve">Transmission and substation:</w:t>
      </w:r>
      <w:r>
        <w:br/>
      </w:r>
      <w:r>
        <w:t xml:space="preserve">The report should confirm whether the double-digit momentum seen in Q1 is carrying through construction season. Hubbell has described robust utility capital spending and an emerging multiyear opportunity in 765-kV transmission. Continued project wins, healthy orders and capacity additions would support the longer-term growth thesis.</w:t>
      </w:r>
    </w:p>
    <w:p>
      <w:pPr>
        <w:pStyle w:val="BodyText"/>
      </w:pPr>
      <w:r>
        <w:rPr>
          <w:b/>
          <w:bCs/>
        </w:rPr>
        <w:t xml:space="preserve">Distribution:</w:t>
      </w:r>
      <w:r>
        <w:br/>
      </w:r>
      <w:r>
        <w:t xml:space="preserve">Distribution demand appears to have recovered after prior channel destocking. Investors should listen for evidence that growth is being driven by end-market consumption rather than distributor inventory rebuilding.</w:t>
      </w:r>
    </w:p>
    <w:p>
      <w:pPr>
        <w:pStyle w:val="BodyText"/>
      </w:pPr>
      <w:r>
        <w:rPr>
          <w:b/>
          <w:bCs/>
        </w:rPr>
        <w:t xml:space="preserve">Grid Automation/Aclara:</w:t>
      </w:r>
      <w:r>
        <w:br/>
      </w:r>
      <w:r>
        <w:t xml:space="preserve">This may be the most important inflection point within Utility Solutions. Management previously expected Grid Automation to return to slight year-over-year growth in Q2 after a 7% decline in Q1. Another decline would call the timing of the recovery into question; positive growth would improve segment mix and reduce one of the few weak spots in the portfolio.</w:t>
      </w:r>
    </w:p>
    <w:bookmarkEnd w:id="15"/>
    <w:bookmarkStart w:id="16" w:name="positive-read-through"/>
    <w:p>
      <w:pPr>
        <w:pStyle w:val="Heading3"/>
      </w:pPr>
      <w:r>
        <w:t xml:space="preserve">Positive read-through</w:t>
      </w:r>
    </w:p>
    <w:p>
      <w:pPr>
        <w:pStyle w:val="FirstParagraph"/>
      </w:pPr>
      <w:r>
        <w:t xml:space="preserve">A strong utility result would include:</w:t>
      </w:r>
    </w:p>
    <w:p>
      <w:pPr>
        <w:pStyle w:val="Compact"/>
        <w:numPr>
          <w:ilvl w:val="0"/>
          <w:numId w:val="1003"/>
        </w:numPr>
      </w:pPr>
      <w:r>
        <w:t xml:space="preserve">High-single-digit or better organic growth.</w:t>
      </w:r>
    </w:p>
    <w:p>
      <w:pPr>
        <w:pStyle w:val="Compact"/>
        <w:numPr>
          <w:ilvl w:val="0"/>
          <w:numId w:val="1003"/>
        </w:numPr>
      </w:pPr>
      <w:r>
        <w:t xml:space="preserve">Continued double-digit Grid Infrastructure growth.</w:t>
      </w:r>
    </w:p>
    <w:p>
      <w:pPr>
        <w:pStyle w:val="Compact"/>
        <w:numPr>
          <w:ilvl w:val="0"/>
          <w:numId w:val="1003"/>
        </w:numPr>
      </w:pPr>
      <w:r>
        <w:t xml:space="preserve">Grid Automation returning to growth.</w:t>
      </w:r>
    </w:p>
    <w:p>
      <w:pPr>
        <w:pStyle w:val="Compact"/>
        <w:numPr>
          <w:ilvl w:val="0"/>
          <w:numId w:val="1003"/>
        </w:numPr>
      </w:pPr>
      <w:r>
        <w:t xml:space="preserve">Utility margin expansion despite inflation.</w:t>
      </w:r>
    </w:p>
    <w:p>
      <w:pPr>
        <w:pStyle w:val="Compact"/>
        <w:numPr>
          <w:ilvl w:val="0"/>
          <w:numId w:val="1003"/>
        </w:numPr>
      </w:pPr>
      <w:r>
        <w:t xml:space="preserve">No signs that generation or data-center spending is crowding out core T&amp;D budgets.</w:t>
      </w:r>
    </w:p>
    <w:p>
      <w:r>
        <w:pict>
          <v:rect style="width:0;height:1.5pt" o:hralign="center" o:hrstd="t" o:hr="t"/>
        </w:pict>
      </w:r>
    </w:p>
    <w:bookmarkEnd w:id="16"/>
    <w:bookmarkEnd w:id="17"/>
    <w:bookmarkStart w:id="19" w:name="Xf4d76a18ef019e91322a8509f2a62ffc9c010ec"/>
    <w:p>
      <w:pPr>
        <w:pStyle w:val="Heading2"/>
      </w:pPr>
      <w:r>
        <w:t xml:space="preserve">2. Data centers need to remain exceptional</w:t>
      </w:r>
    </w:p>
    <w:p>
      <w:pPr>
        <w:pStyle w:val="FirstParagraph"/>
      </w:pPr>
      <w:r>
        <w:t xml:space="preserve">Electrical Solutions delivered 11% organic growth in Q1, driven by data centers, light industrial markets and nonresidential construction. Management said data-center sales grew approximately</w:t>
      </w:r>
      <w:r>
        <w:t xml:space="preserve"> </w:t>
      </w:r>
      <w:r>
        <w:rPr>
          <w:b/>
          <w:bCs/>
        </w:rPr>
        <w:t xml:space="preserve">40%</w:t>
      </w:r>
      <w:r>
        <w:t xml:space="preserve">, leading it to raise its full-year data-center outlook to</w:t>
      </w:r>
      <w:r>
        <w:t xml:space="preserve"> </w:t>
      </w:r>
      <w:r>
        <w:rPr>
          <w:b/>
          <w:bCs/>
        </w:rPr>
        <w:t xml:space="preserve">more than 25% growth</w:t>
      </w:r>
      <w:r>
        <w:t xml:space="preserve">. (</w:t>
      </w:r>
      <w:hyperlink r:id="rId14">
        <w:r>
          <w:rPr>
            <w:rStyle w:val="Hyperlink"/>
          </w:rPr>
          <w:t xml:space="preserve">hubbell.gcs-web.com</w:t>
        </w:r>
      </w:hyperlink>
      <w:r>
        <w:t xml:space="preserve">)</w:t>
      </w:r>
    </w:p>
    <w:p>
      <w:pPr>
        <w:pStyle w:val="BodyText"/>
      </w:pPr>
      <w:r>
        <w:t xml:space="preserve">Hubbell’s data-center exposure includes two distinct businesses:</w:t>
      </w:r>
    </w:p>
    <w:p>
      <w:pPr>
        <w:pStyle w:val="Compact"/>
        <w:numPr>
          <w:ilvl w:val="0"/>
          <w:numId w:val="1004"/>
        </w:numPr>
      </w:pPr>
      <w:r>
        <w:rPr>
          <w:b/>
          <w:bCs/>
        </w:rPr>
        <w:t xml:space="preserve">Long-cycle modular power-distribution skids</w:t>
      </w:r>
      <w:r>
        <w:t xml:space="preserve">, where 2026 capacity was largely booked.</w:t>
      </w:r>
    </w:p>
    <w:p>
      <w:pPr>
        <w:pStyle w:val="Compact"/>
        <w:numPr>
          <w:ilvl w:val="0"/>
          <w:numId w:val="1004"/>
        </w:numPr>
      </w:pPr>
      <w:r>
        <w:rPr>
          <w:b/>
          <w:bCs/>
        </w:rPr>
        <w:t xml:space="preserve">Short-cycle balance-of-system components</w:t>
      </w:r>
      <w:r>
        <w:t xml:space="preserve">, where management has continued adding capacity and inventory.</w:t>
      </w:r>
    </w:p>
    <w:bookmarkStart w:id="18" w:name="what-to-watch"/>
    <w:p>
      <w:pPr>
        <w:pStyle w:val="Heading3"/>
      </w:pPr>
      <w:r>
        <w:t xml:space="preserve">What to watch</w:t>
      </w:r>
    </w:p>
    <w:p>
      <w:pPr>
        <w:pStyle w:val="Compact"/>
        <w:numPr>
          <w:ilvl w:val="0"/>
          <w:numId w:val="1005"/>
        </w:numPr>
      </w:pPr>
      <w:r>
        <w:rPr>
          <w:b/>
          <w:bCs/>
        </w:rPr>
        <w:t xml:space="preserve">Order growth and backlog:</w:t>
      </w:r>
      <w:r>
        <w:t xml:space="preserve"> </w:t>
      </w:r>
      <w:r>
        <w:t xml:space="preserve">Is demand still accelerating across hyperscale and colocation customers?</w:t>
      </w:r>
    </w:p>
    <w:p>
      <w:pPr>
        <w:pStyle w:val="Compact"/>
        <w:numPr>
          <w:ilvl w:val="0"/>
          <w:numId w:val="1005"/>
        </w:numPr>
      </w:pPr>
      <w:r>
        <w:rPr>
          <w:b/>
          <w:bCs/>
        </w:rPr>
        <w:t xml:space="preserve">Capacity:</w:t>
      </w:r>
      <w:r>
        <w:t xml:space="preserve"> </w:t>
      </w:r>
      <w:r>
        <w:t xml:space="preserve">Can Hubbell ship enough product to convert demand into 2026 revenue?</w:t>
      </w:r>
    </w:p>
    <w:p>
      <w:pPr>
        <w:pStyle w:val="Compact"/>
        <w:numPr>
          <w:ilvl w:val="0"/>
          <w:numId w:val="1005"/>
        </w:numPr>
      </w:pPr>
      <w:r>
        <w:rPr>
          <w:b/>
          <w:bCs/>
        </w:rPr>
        <w:t xml:space="preserve">Breadth:</w:t>
      </w:r>
      <w:r>
        <w:t xml:space="preserve"> </w:t>
      </w:r>
      <w:r>
        <w:t xml:space="preserve">Is growth broadening beyond modular skids into connectors, wiring devices and other components?</w:t>
      </w:r>
    </w:p>
    <w:p>
      <w:pPr>
        <w:pStyle w:val="Compact"/>
        <w:numPr>
          <w:ilvl w:val="0"/>
          <w:numId w:val="1005"/>
        </w:numPr>
      </w:pPr>
      <w:r>
        <w:rPr>
          <w:b/>
          <w:bCs/>
        </w:rPr>
        <w:t xml:space="preserve">Guidance:</w:t>
      </w:r>
      <w:r>
        <w:t xml:space="preserve"> </w:t>
      </w:r>
      <w:r>
        <w:t xml:space="preserve">Does management raise the “more than 25%” full-year outlook?</w:t>
      </w:r>
    </w:p>
    <w:p>
      <w:pPr>
        <w:pStyle w:val="Compact"/>
        <w:numPr>
          <w:ilvl w:val="0"/>
          <w:numId w:val="1005"/>
        </w:numPr>
      </w:pPr>
      <w:r>
        <w:rPr>
          <w:b/>
          <w:bCs/>
        </w:rPr>
        <w:t xml:space="preserve">NSI cross-selling:</w:t>
      </w:r>
      <w:r>
        <w:t xml:space="preserve"> </w:t>
      </w:r>
      <w:r>
        <w:t xml:space="preserve">Does NSI add meaningful data-center content or distribution-channel opportunities?</w:t>
      </w:r>
    </w:p>
    <w:p>
      <w:pPr>
        <w:pStyle w:val="FirstParagraph"/>
      </w:pPr>
      <w:r>
        <w:t xml:space="preserve">Anything below roughly 25% data-center growth—or commentary that orders are slowing—would be disappointing given Q1’s 40% result and the valuation assigned to this exposure.</w:t>
      </w:r>
    </w:p>
    <w:p>
      <w:r>
        <w:pict>
          <v:rect style="width:0;height:1.5pt" o:hralign="center" o:hrstd="t" o:hr="t"/>
        </w:pict>
      </w:r>
    </w:p>
    <w:bookmarkEnd w:id="18"/>
    <w:bookmarkEnd w:id="19"/>
    <w:bookmarkStart w:id="20" w:name="X70311b6cafaf01c8cd4c337728b4e255c9e3d52"/>
    <w:p>
      <w:pPr>
        <w:pStyle w:val="Heading2"/>
      </w:pPr>
      <w:r>
        <w:t xml:space="preserve">3. Electrical margins face a difficult comparison</w:t>
      </w:r>
    </w:p>
    <w:p>
      <w:pPr>
        <w:pStyle w:val="FirstParagraph"/>
      </w:pPr>
      <w:r>
        <w:t xml:space="preserve">Electrical Solutions’ Q1 adjusted margin declined 30 basis points to 16.4%, despite strong revenue growth. Higher restructuring and growth investments offset operating leverage.</w:t>
      </w:r>
    </w:p>
    <w:p>
      <w:pPr>
        <w:pStyle w:val="BodyText"/>
      </w:pPr>
      <w:r>
        <w:t xml:space="preserve">Q2 presents a tougher comparison: Electrical Solutions produced a</w:t>
      </w:r>
      <w:r>
        <w:t xml:space="preserve"> </w:t>
      </w:r>
      <w:r>
        <w:rPr>
          <w:b/>
          <w:bCs/>
        </w:rPr>
        <w:t xml:space="preserve">22.5% adjusted margin in Q2 2025</w:t>
      </w:r>
      <w:r>
        <w:t xml:space="preserve">, while consolidated adjusted margin was 24.4%. The prior-year quarter also reflected Hubbell’s transition to FIFO inventory accounting, making the comparison less straightforward.</w:t>
      </w:r>
    </w:p>
    <w:p>
      <w:pPr>
        <w:pStyle w:val="BodyText"/>
      </w:pPr>
      <w:r>
        <w:t xml:space="preserve">Management previously indicated:</w:t>
      </w:r>
    </w:p>
    <w:p>
      <w:pPr>
        <w:pStyle w:val="Compact"/>
        <w:numPr>
          <w:ilvl w:val="0"/>
          <w:numId w:val="1006"/>
        </w:numPr>
      </w:pPr>
      <w:r>
        <w:t xml:space="preserve">Utility margin expansion should remain relatively consistent.</w:t>
      </w:r>
    </w:p>
    <w:p>
      <w:pPr>
        <w:pStyle w:val="Compact"/>
        <w:numPr>
          <w:ilvl w:val="0"/>
          <w:numId w:val="1006"/>
        </w:numPr>
      </w:pPr>
      <w:r>
        <w:t xml:space="preserve">Electrical margins would face first-half pressure before becoming approximately flat year over year in the second half.</w:t>
      </w:r>
    </w:p>
    <w:p>
      <w:pPr>
        <w:pStyle w:val="Compact"/>
        <w:numPr>
          <w:ilvl w:val="0"/>
          <w:numId w:val="1006"/>
        </w:numPr>
      </w:pPr>
      <w:r>
        <w:t xml:space="preserve">Full-year consolidated adjusted margin expansion was expected to be around 20 basis points at the midpoint of guidance.</w:t>
      </w:r>
    </w:p>
    <w:p>
      <w:pPr>
        <w:pStyle w:val="Compact"/>
        <w:numPr>
          <w:ilvl w:val="0"/>
          <w:numId w:val="1006"/>
        </w:numPr>
      </w:pPr>
      <w:r>
        <w:t xml:space="preserve">Higher price needed to cover inflation could mathematically dilute percentage margins even if price/cost is neutral in dollars.</w:t>
      </w:r>
    </w:p>
    <w:p>
      <w:pPr>
        <w:pStyle w:val="FirstParagraph"/>
      </w:pPr>
      <w:r>
        <w:t xml:space="preserve">Therefore, a modest year-over-year margin decline would not necessarily constitute a bad quarter. The key is whether it is consistent with planned investment and price/cost math rather than weaker volume, poor execution or excessive inflation.</w:t>
      </w:r>
    </w:p>
    <w:p>
      <w:r>
        <w:pict>
          <v:rect style="width:0;height:1.5pt" o:hralign="center" o:hrstd="t" o:hr="t"/>
        </w:pict>
      </w:r>
    </w:p>
    <w:bookmarkEnd w:id="20"/>
    <w:bookmarkStart w:id="21" w:name="Xa94cdef28839bf154a45d6a430317084380dacc"/>
    <w:p>
      <w:pPr>
        <w:pStyle w:val="Heading2"/>
      </w:pPr>
      <w:r>
        <w:t xml:space="preserve">4. Price/cost execution is a major swing factor</w:t>
      </w:r>
    </w:p>
    <w:p>
      <w:pPr>
        <w:pStyle w:val="FirstParagraph"/>
      </w:pPr>
      <w:r>
        <w:t xml:space="preserve">Hubbell entered 2026 expecting roughly two percentage points of price but increased that expectation to approximately three points after metals inflation accelerated. Price increases implemented at the beginning of Q2 were expected to take 30–60 days to work through backlog.</w:t>
      </w:r>
    </w:p>
    <w:p>
      <w:pPr>
        <w:pStyle w:val="BodyText"/>
      </w:pPr>
      <w:r>
        <w:t xml:space="preserve">Investors should focus on:</w:t>
      </w:r>
    </w:p>
    <w:p>
      <w:pPr>
        <w:pStyle w:val="Compact"/>
        <w:numPr>
          <w:ilvl w:val="0"/>
          <w:numId w:val="1007"/>
        </w:numPr>
      </w:pPr>
      <w:r>
        <w:t xml:space="preserve">Whether the price increases are sticking.</w:t>
      </w:r>
    </w:p>
    <w:p>
      <w:pPr>
        <w:pStyle w:val="Compact"/>
        <w:numPr>
          <w:ilvl w:val="0"/>
          <w:numId w:val="1007"/>
        </w:numPr>
      </w:pPr>
      <w:r>
        <w:t xml:space="preserve">Copper, aluminum and steel inflation.</w:t>
      </w:r>
    </w:p>
    <w:p>
      <w:pPr>
        <w:pStyle w:val="Compact"/>
        <w:numPr>
          <w:ilvl w:val="0"/>
          <w:numId w:val="1007"/>
        </w:numPr>
      </w:pPr>
      <w:r>
        <w:t xml:space="preserve">Price/cost/productivity in dollars.</w:t>
      </w:r>
    </w:p>
    <w:p>
      <w:pPr>
        <w:pStyle w:val="Compact"/>
        <w:numPr>
          <w:ilvl w:val="0"/>
          <w:numId w:val="1007"/>
        </w:numPr>
      </w:pPr>
      <w:r>
        <w:t xml:space="preserve">Any customer resistance or demand pull-forward.</w:t>
      </w:r>
    </w:p>
    <w:p>
      <w:pPr>
        <w:pStyle w:val="Compact"/>
        <w:numPr>
          <w:ilvl w:val="0"/>
          <w:numId w:val="1007"/>
        </w:numPr>
      </w:pPr>
      <w:r>
        <w:t xml:space="preserve">Whether additional pricing is required for the second half.</w:t>
      </w:r>
    </w:p>
    <w:p>
      <w:pPr>
        <w:pStyle w:val="Compact"/>
        <w:numPr>
          <w:ilvl w:val="0"/>
          <w:numId w:val="1007"/>
        </w:numPr>
      </w:pPr>
      <w:r>
        <w:t xml:space="preserve">The resulting effect on gross and operating margins.</w:t>
      </w:r>
    </w:p>
    <w:p>
      <w:pPr>
        <w:pStyle w:val="FirstParagraph"/>
      </w:pPr>
      <w:r>
        <w:rPr>
          <w:b/>
          <w:bCs/>
        </w:rPr>
        <w:t xml:space="preserve">Best case:</w:t>
      </w:r>
      <w:r>
        <w:t xml:space="preserve"> </w:t>
      </w:r>
      <w:r>
        <w:t xml:space="preserve">price and productivity remain positive in dollars, with no meaningful volume erosion.</w:t>
      </w:r>
    </w:p>
    <w:p>
      <w:pPr>
        <w:pStyle w:val="BodyText"/>
      </w:pPr>
      <w:r>
        <w:rPr>
          <w:b/>
          <w:bCs/>
        </w:rPr>
        <w:t xml:space="preserve">Risk case:</w:t>
      </w:r>
      <w:r>
        <w:t xml:space="preserve"> </w:t>
      </w:r>
      <w:r>
        <w:t xml:space="preserve">input costs move faster than pricing, or price protects profit dollars but produces more margin dilution than expected.</w:t>
      </w:r>
    </w:p>
    <w:p>
      <w:r>
        <w:pict>
          <v:rect style="width:0;height:1.5pt" o:hralign="center" o:hrstd="t" o:hr="t"/>
        </w:pict>
      </w:r>
    </w:p>
    <w:bookmarkEnd w:id="21"/>
    <w:bookmarkStart w:id="25" w:name="X80936c24f8c0cfcfe69fd1bc404dd2431c1cddf"/>
    <w:p>
      <w:pPr>
        <w:pStyle w:val="Heading2"/>
      </w:pPr>
      <w:r>
        <w:t xml:space="preserve">5. NSI changes the guidance discussion</w:t>
      </w:r>
    </w:p>
    <w:p>
      <w:pPr>
        <w:pStyle w:val="FirstParagraph"/>
      </w:pPr>
      <w:r>
        <w:t xml:space="preserve">Hubbell completed the</w:t>
      </w:r>
      <w:r>
        <w:t xml:space="preserve"> </w:t>
      </w:r>
      <w:r>
        <w:rPr>
          <w:b/>
          <w:bCs/>
        </w:rPr>
        <w:t xml:space="preserve">$3.0 billion</w:t>
      </w:r>
      <w:r>
        <w:t xml:space="preserve"> </w:t>
      </w:r>
      <w:r>
        <w:t xml:space="preserve">acquisition of NSI Industries on June 9. NSI is expected to generate approximately $570 million of 2026 revenue and was acquired for roughly 15.5x anticipated 2026 EBITDA. Management expects it to be accretive to Hubbell’s adjusted EPS and Electrical Solutions’ margin profile. (</w:t>
      </w:r>
      <w:hyperlink r:id="rId12">
        <w:r>
          <w:rPr>
            <w:rStyle w:val="Hyperlink"/>
          </w:rPr>
          <w:t xml:space="preserve">hubbell.gcs-web.com</w:t>
        </w:r>
      </w:hyperlink>
      <w:r>
        <w:t xml:space="preserve">)</w:t>
      </w:r>
    </w:p>
    <w:p>
      <w:pPr>
        <w:pStyle w:val="BodyText"/>
      </w:pPr>
      <w:r>
        <w:t xml:space="preserve">The transaction was financed with:</w:t>
      </w:r>
    </w:p>
    <w:p>
      <w:pPr>
        <w:pStyle w:val="Compact"/>
        <w:numPr>
          <w:ilvl w:val="0"/>
          <w:numId w:val="1008"/>
        </w:numPr>
      </w:pPr>
      <w:r>
        <w:t xml:space="preserve">A</w:t>
      </w:r>
      <w:r>
        <w:t xml:space="preserve"> </w:t>
      </w:r>
      <w:r>
        <w:rPr>
          <w:b/>
          <w:bCs/>
        </w:rPr>
        <w:t xml:space="preserve">$900 million unsecured term loan</w:t>
      </w:r>
      <w:r>
        <w:t xml:space="preserve">.</w:t>
      </w:r>
    </w:p>
    <w:p>
      <w:pPr>
        <w:pStyle w:val="Compact"/>
        <w:numPr>
          <w:ilvl w:val="0"/>
          <w:numId w:val="1008"/>
        </w:numPr>
      </w:pPr>
      <w:r>
        <w:rPr>
          <w:b/>
          <w:bCs/>
        </w:rPr>
        <w:t xml:space="preserve">$1.9 billion of senior notes</w:t>
      </w:r>
      <w:r>
        <w:t xml:space="preserve">.</w:t>
      </w:r>
    </w:p>
    <w:p>
      <w:pPr>
        <w:pStyle w:val="Compact"/>
        <w:numPr>
          <w:ilvl w:val="0"/>
          <w:numId w:val="1008"/>
        </w:numPr>
      </w:pPr>
      <w:r>
        <w:t xml:space="preserve">Commercial paper and cash.</w:t>
      </w:r>
    </w:p>
    <w:p>
      <w:pPr>
        <w:pStyle w:val="FirstParagraph"/>
      </w:pPr>
      <w:r>
        <w:t xml:space="preserve">The senior notes carry coupons ranging from 4.65% to 5.15%. (</w:t>
      </w:r>
      <w:hyperlink r:id="rId22">
        <w:r>
          <w:rPr>
            <w:rStyle w:val="Hyperlink"/>
          </w:rPr>
          <w:t xml:space="preserve">hubbell.gcs-web.com</w:t>
        </w:r>
      </w:hyperlink>
      <w:r>
        <w:t xml:space="preserve">)</w:t>
      </w:r>
    </w:p>
    <w:bookmarkStart w:id="23" w:name="the-important-distinction"/>
    <w:p>
      <w:pPr>
        <w:pStyle w:val="Heading3"/>
      </w:pPr>
      <w:r>
        <w:t xml:space="preserve">The important distinction</w:t>
      </w:r>
    </w:p>
    <w:p>
      <w:pPr>
        <w:pStyle w:val="FirstParagraph"/>
      </w:pPr>
      <w:r>
        <w:t xml:space="preserve">Hubbell’s previous</w:t>
      </w:r>
      <w:r>
        <w:t xml:space="preserve"> </w:t>
      </w:r>
      <m:oMath>
        <m:r>
          <m:t>19.30</m:t>
        </m:r>
        <m:r>
          <m:rPr>
            <m:sty m:val="p"/>
          </m:rPr>
          <m:t>–</m:t>
        </m:r>
      </m:oMath>
      <w:r>
        <w:rPr>
          <w:b/>
          <w:bCs/>
        </w:rPr>
        <w:t xml:space="preserve">19.85</w:t>
      </w:r>
      <w:r>
        <w:t xml:space="preserve"> </w:t>
      </w:r>
      <w:r>
        <w:t xml:space="preserve">adjusted EPS guidance was issued on April 30, before the NSI deal was announced or completed. Consequently, an increase in reported sales and EPS guidance is highly likely, but investors should separate:</w:t>
      </w:r>
    </w:p>
    <w:p>
      <w:pPr>
        <w:pStyle w:val="Compact"/>
        <w:numPr>
          <w:ilvl w:val="0"/>
          <w:numId w:val="1009"/>
        </w:numPr>
      </w:pPr>
      <w:r>
        <w:t xml:space="preserve">The contribution from NSI.</w:t>
      </w:r>
    </w:p>
    <w:p>
      <w:pPr>
        <w:pStyle w:val="Compact"/>
        <w:numPr>
          <w:ilvl w:val="0"/>
          <w:numId w:val="1009"/>
        </w:numPr>
      </w:pPr>
      <w:r>
        <w:t xml:space="preserve">Standalone Hubbell organic performance.</w:t>
      </w:r>
    </w:p>
    <w:p>
      <w:pPr>
        <w:pStyle w:val="Compact"/>
        <w:numPr>
          <w:ilvl w:val="0"/>
          <w:numId w:val="1009"/>
        </w:numPr>
      </w:pPr>
      <w:r>
        <w:t xml:space="preserve">Incremental interest expense.</w:t>
      </w:r>
    </w:p>
    <w:p>
      <w:pPr>
        <w:pStyle w:val="Compact"/>
        <w:numPr>
          <w:ilvl w:val="0"/>
          <w:numId w:val="1009"/>
        </w:numPr>
      </w:pPr>
      <w:r>
        <w:t xml:space="preserve">Purchase-accounting amortization.</w:t>
      </w:r>
    </w:p>
    <w:p>
      <w:pPr>
        <w:pStyle w:val="Compact"/>
        <w:numPr>
          <w:ilvl w:val="0"/>
          <w:numId w:val="1009"/>
        </w:numPr>
      </w:pPr>
      <w:r>
        <w:t xml:space="preserve">Transaction and integration costs.</w:t>
      </w:r>
    </w:p>
    <w:p>
      <w:pPr>
        <w:pStyle w:val="Compact"/>
        <w:numPr>
          <w:ilvl w:val="0"/>
          <w:numId w:val="1009"/>
        </w:numPr>
      </w:pPr>
      <w:r>
        <w:t xml:space="preserve">Any actual change in the legacy-business outlook.</w:t>
      </w:r>
    </w:p>
    <w:p>
      <w:pPr>
        <w:pStyle w:val="FirstParagraph"/>
      </w:pPr>
      <w:r>
        <w:t xml:space="preserve">A guidance raise driven entirely by NSI may not be enough to produce a positive stock reaction.</w:t>
      </w:r>
    </w:p>
    <w:bookmarkEnd w:id="23"/>
    <w:bookmarkStart w:id="24" w:name="questions-investors-need-answered"/>
    <w:p>
      <w:pPr>
        <w:pStyle w:val="Heading3"/>
      </w:pPr>
      <w:r>
        <w:t xml:space="preserve">Questions investors need answered</w:t>
      </w:r>
    </w:p>
    <w:p>
      <w:pPr>
        <w:pStyle w:val="Compact"/>
        <w:numPr>
          <w:ilvl w:val="0"/>
          <w:numId w:val="1010"/>
        </w:numPr>
      </w:pPr>
      <w:r>
        <w:t xml:space="preserve">What is NSI’s expected 2026 revenue and adjusted EPS contribution from June 9 onward?</w:t>
      </w:r>
    </w:p>
    <w:p>
      <w:pPr>
        <w:pStyle w:val="Compact"/>
        <w:numPr>
          <w:ilvl w:val="0"/>
          <w:numId w:val="1010"/>
        </w:numPr>
      </w:pPr>
      <w:r>
        <w:t xml:space="preserve">How much incremental interest expense is included?</w:t>
      </w:r>
    </w:p>
    <w:p>
      <w:pPr>
        <w:pStyle w:val="Compact"/>
        <w:numPr>
          <w:ilvl w:val="0"/>
          <w:numId w:val="1010"/>
        </w:numPr>
      </w:pPr>
      <w:r>
        <w:t xml:space="preserve">How quickly will Hubbell reduce leverage?</w:t>
      </w:r>
    </w:p>
    <w:p>
      <w:pPr>
        <w:pStyle w:val="Compact"/>
        <w:numPr>
          <w:ilvl w:val="0"/>
          <w:numId w:val="1010"/>
        </w:numPr>
      </w:pPr>
      <w:r>
        <w:t xml:space="preserve">What are the initial synergy targets and timing?</w:t>
      </w:r>
    </w:p>
    <w:p>
      <w:pPr>
        <w:pStyle w:val="Compact"/>
        <w:numPr>
          <w:ilvl w:val="0"/>
          <w:numId w:val="1010"/>
        </w:numPr>
      </w:pPr>
      <w:r>
        <w:t xml:space="preserve">Will NSI margins remain accretive after purchase accounting?</w:t>
      </w:r>
    </w:p>
    <w:p>
      <w:pPr>
        <w:pStyle w:val="Compact"/>
        <w:numPr>
          <w:ilvl w:val="0"/>
          <w:numId w:val="1010"/>
        </w:numPr>
      </w:pPr>
      <w:r>
        <w:t xml:space="preserve">Are there early cross-selling opportunities in data centers, light industrial and commercial construction?</w:t>
      </w:r>
    </w:p>
    <w:p>
      <w:pPr>
        <w:pStyle w:val="Compact"/>
        <w:numPr>
          <w:ilvl w:val="0"/>
          <w:numId w:val="1010"/>
        </w:numPr>
      </w:pPr>
      <w:r>
        <w:t xml:space="preserve">Does the acquisition affect Hubbell’s share-repurchase plans or near-term M&amp;A capacity?</w:t>
      </w:r>
    </w:p>
    <w:p>
      <w:r>
        <w:pict>
          <v:rect style="width:0;height:1.5pt" o:hralign="center" o:hrstd="t" o:hr="t"/>
        </w:pict>
      </w:r>
    </w:p>
    <w:bookmarkEnd w:id="24"/>
    <w:bookmarkEnd w:id="25"/>
    <w:bookmarkStart w:id="26" w:name="X5ce6850cb5725356168d628f2afa0bfa9446b86"/>
    <w:p>
      <w:pPr>
        <w:pStyle w:val="Heading2"/>
      </w:pPr>
      <w:r>
        <w:t xml:space="preserve">6. Cash flow and leverage deserve more attention than usual</w:t>
      </w:r>
    </w:p>
    <w:p>
      <w:pPr>
        <w:pStyle w:val="FirstParagraph"/>
      </w:pPr>
      <w:r>
        <w:t xml:space="preserve">Before NSI, Hubbell expected free-cash-flow conversion of at least</w:t>
      </w:r>
      <w:r>
        <w:t xml:space="preserve"> </w:t>
      </w:r>
      <w:r>
        <w:rPr>
          <w:b/>
          <w:bCs/>
        </w:rPr>
        <w:t xml:space="preserve">90% of adjusted net income</w:t>
      </w:r>
      <w:r>
        <w:t xml:space="preserve">. Q1 free cash flow improved to $46 million from $11 million, but Q1 is seasonally not the primary cash-generating quarter. (</w:t>
      </w:r>
      <w:hyperlink r:id="rId14">
        <w:r>
          <w:rPr>
            <w:rStyle w:val="Hyperlink"/>
          </w:rPr>
          <w:t xml:space="preserve">hubbell.gcs-web.com</w:t>
        </w:r>
      </w:hyperlink>
      <w:r>
        <w:t xml:space="preserve">)</w:t>
      </w:r>
    </w:p>
    <w:p>
      <w:pPr>
        <w:pStyle w:val="BodyText"/>
      </w:pPr>
      <w:r>
        <w:t xml:space="preserve">Following the debt-financed acquisition, investors should place greater weight on:</w:t>
      </w:r>
    </w:p>
    <w:p>
      <w:pPr>
        <w:pStyle w:val="Compact"/>
        <w:numPr>
          <w:ilvl w:val="0"/>
          <w:numId w:val="1011"/>
        </w:numPr>
      </w:pPr>
      <w:r>
        <w:t xml:space="preserve">Working-capital performance.</w:t>
      </w:r>
    </w:p>
    <w:p>
      <w:pPr>
        <w:pStyle w:val="Compact"/>
        <w:numPr>
          <w:ilvl w:val="0"/>
          <w:numId w:val="1011"/>
        </w:numPr>
      </w:pPr>
      <w:r>
        <w:t xml:space="preserve">Inventory growth relative to sales.</w:t>
      </w:r>
    </w:p>
    <w:p>
      <w:pPr>
        <w:pStyle w:val="Compact"/>
        <w:numPr>
          <w:ilvl w:val="0"/>
          <w:numId w:val="1011"/>
        </w:numPr>
      </w:pPr>
      <w:r>
        <w:t xml:space="preserve">Capital expenditures supporting utility and data-center capacity.</w:t>
      </w:r>
    </w:p>
    <w:p>
      <w:pPr>
        <w:pStyle w:val="Compact"/>
        <w:numPr>
          <w:ilvl w:val="0"/>
          <w:numId w:val="1011"/>
        </w:numPr>
      </w:pPr>
      <w:r>
        <w:t xml:space="preserve">Updated free-cash-flow conversion.</w:t>
      </w:r>
    </w:p>
    <w:p>
      <w:pPr>
        <w:pStyle w:val="Compact"/>
        <w:numPr>
          <w:ilvl w:val="0"/>
          <w:numId w:val="1011"/>
        </w:numPr>
      </w:pPr>
      <w:r>
        <w:t xml:space="preserve">Debt repayment priorities.</w:t>
      </w:r>
    </w:p>
    <w:p>
      <w:pPr>
        <w:pStyle w:val="Compact"/>
        <w:numPr>
          <w:ilvl w:val="0"/>
          <w:numId w:val="1011"/>
        </w:numPr>
      </w:pPr>
      <w:r>
        <w:t xml:space="preserve">Credit-rating considerations.</w:t>
      </w:r>
    </w:p>
    <w:p>
      <w:pPr>
        <w:pStyle w:val="FirstParagraph"/>
      </w:pPr>
      <w:r>
        <w:t xml:space="preserve">A strong earnings result accompanied by weak cash conversion would be less convincing now that the balance sheet carries materially more debt.</w:t>
      </w:r>
    </w:p>
    <w:p>
      <w:r>
        <w:pict>
          <v:rect style="width:0;height:1.5pt" o:hralign="center" o:hrstd="t" o:hr="t"/>
        </w:pict>
      </w:r>
    </w:p>
    <w:bookmarkEnd w:id="26"/>
    <w:bookmarkStart w:id="30" w:name="what-would-constitute-a-good-report"/>
    <w:p>
      <w:pPr>
        <w:pStyle w:val="Heading2"/>
      </w:pPr>
      <w:r>
        <w:t xml:space="preserve">What would constitute a good report?</w:t>
      </w:r>
    </w:p>
    <w:bookmarkStart w:id="27" w:name="bullish-outcome"/>
    <w:p>
      <w:pPr>
        <w:pStyle w:val="Heading3"/>
      </w:pPr>
      <w:r>
        <w:t xml:space="preserve">Bullish outcome</w:t>
      </w:r>
    </w:p>
    <w:p>
      <w:pPr>
        <w:pStyle w:val="Compact"/>
        <w:numPr>
          <w:ilvl w:val="0"/>
          <w:numId w:val="1012"/>
        </w:numPr>
      </w:pPr>
      <w:r>
        <w:t xml:space="preserve">Revenue at or above</w:t>
      </w:r>
      <w:r>
        <w:t xml:space="preserve"> </w:t>
      </w:r>
      <w:r>
        <w:rPr>
          <w:b/>
          <w:bCs/>
        </w:rPr>
        <w:t xml:space="preserve">$1.68 billion</w:t>
      </w:r>
      <w:r>
        <w:t xml:space="preserve">.</w:t>
      </w:r>
    </w:p>
    <w:p>
      <w:pPr>
        <w:pStyle w:val="Compact"/>
        <w:numPr>
          <w:ilvl w:val="0"/>
          <w:numId w:val="1012"/>
        </w:numPr>
      </w:pPr>
      <w:r>
        <w:t xml:space="preserve">Adjusted EPS above</w:t>
      </w:r>
      <w:r>
        <w:t xml:space="preserve"> </w:t>
      </w:r>
      <w:r>
        <w:rPr>
          <w:b/>
          <w:bCs/>
        </w:rPr>
        <w:t xml:space="preserve">$5.40</w:t>
      </w:r>
      <w:r>
        <w:t xml:space="preserve">.</w:t>
      </w:r>
    </w:p>
    <w:p>
      <w:pPr>
        <w:pStyle w:val="Compact"/>
        <w:numPr>
          <w:ilvl w:val="0"/>
          <w:numId w:val="1012"/>
        </w:numPr>
      </w:pPr>
      <w:r>
        <w:t xml:space="preserve">Legacy organic growth around the high-single digits or better.</w:t>
      </w:r>
    </w:p>
    <w:p>
      <w:pPr>
        <w:pStyle w:val="Compact"/>
        <w:numPr>
          <w:ilvl w:val="0"/>
          <w:numId w:val="1012"/>
        </w:numPr>
      </w:pPr>
      <w:r>
        <w:t xml:space="preserve">Grid Infrastructure remains double-digit.</w:t>
      </w:r>
    </w:p>
    <w:p>
      <w:pPr>
        <w:pStyle w:val="Compact"/>
        <w:numPr>
          <w:ilvl w:val="0"/>
          <w:numId w:val="1012"/>
        </w:numPr>
      </w:pPr>
      <w:r>
        <w:t xml:space="preserve">Grid Automation returns to positive growth.</w:t>
      </w:r>
    </w:p>
    <w:p>
      <w:pPr>
        <w:pStyle w:val="Compact"/>
        <w:numPr>
          <w:ilvl w:val="0"/>
          <w:numId w:val="1012"/>
        </w:numPr>
      </w:pPr>
      <w:r>
        <w:t xml:space="preserve">Data-center growth remains well above 25%.</w:t>
      </w:r>
    </w:p>
    <w:p>
      <w:pPr>
        <w:pStyle w:val="Compact"/>
        <w:numPr>
          <w:ilvl w:val="0"/>
          <w:numId w:val="1012"/>
        </w:numPr>
      </w:pPr>
      <w:r>
        <w:t xml:space="preserve">Price/cost/productivity is neutral or positive in dollars.</w:t>
      </w:r>
    </w:p>
    <w:p>
      <w:pPr>
        <w:pStyle w:val="Compact"/>
        <w:numPr>
          <w:ilvl w:val="0"/>
          <w:numId w:val="1012"/>
        </w:numPr>
      </w:pPr>
      <w:r>
        <w:t xml:space="preserve">Prior organic-growth guidance is maintained or raised.</w:t>
      </w:r>
    </w:p>
    <w:p>
      <w:pPr>
        <w:pStyle w:val="Compact"/>
        <w:numPr>
          <w:ilvl w:val="0"/>
          <w:numId w:val="1012"/>
        </w:numPr>
      </w:pPr>
      <w:r>
        <w:t xml:space="preserve">NSI adds clear EPS accretion after interest and integration costs.</w:t>
      </w:r>
    </w:p>
    <w:p>
      <w:pPr>
        <w:pStyle w:val="Compact"/>
        <w:numPr>
          <w:ilvl w:val="0"/>
          <w:numId w:val="1012"/>
        </w:numPr>
      </w:pPr>
      <w:r>
        <w:t xml:space="preserve">Management provides a credible deleveraging plan.</w:t>
      </w:r>
    </w:p>
    <w:bookmarkEnd w:id="27"/>
    <w:bookmarkStart w:id="28" w:name="merely-acceptable"/>
    <w:p>
      <w:pPr>
        <w:pStyle w:val="Heading3"/>
      </w:pPr>
      <w:r>
        <w:t xml:space="preserve">Merely acceptable</w:t>
      </w:r>
    </w:p>
    <w:p>
      <w:pPr>
        <w:pStyle w:val="Compact"/>
        <w:numPr>
          <w:ilvl w:val="0"/>
          <w:numId w:val="1013"/>
        </w:numPr>
      </w:pPr>
      <w:r>
        <w:t xml:space="preserve">Results broadly match consensus.</w:t>
      </w:r>
    </w:p>
    <w:p>
      <w:pPr>
        <w:pStyle w:val="Compact"/>
        <w:numPr>
          <w:ilvl w:val="0"/>
          <w:numId w:val="1013"/>
        </w:numPr>
      </w:pPr>
      <w:r>
        <w:t xml:space="preserve">Utility and data centers remain strong, but Electrical margins are lower.</w:t>
      </w:r>
    </w:p>
    <w:p>
      <w:pPr>
        <w:pStyle w:val="Compact"/>
        <w:numPr>
          <w:ilvl w:val="0"/>
          <w:numId w:val="1013"/>
        </w:numPr>
      </w:pPr>
      <w:r>
        <w:t xml:space="preserve">Reported guidance rises primarily because of NSI.</w:t>
      </w:r>
    </w:p>
    <w:p>
      <w:pPr>
        <w:pStyle w:val="Compact"/>
        <w:numPr>
          <w:ilvl w:val="0"/>
          <w:numId w:val="1013"/>
        </w:numPr>
      </w:pPr>
      <w:r>
        <w:t xml:space="preserve">Legacy organic and margin guidance remains unchanged.</w:t>
      </w:r>
    </w:p>
    <w:p>
      <w:pPr>
        <w:pStyle w:val="FirstParagraph"/>
      </w:pPr>
      <w:r>
        <w:t xml:space="preserve">That result could generate a muted reaction because the market already knows NSI will increase reported revenue.</w:t>
      </w:r>
    </w:p>
    <w:bookmarkEnd w:id="28"/>
    <w:bookmarkStart w:id="29" w:name="bearish-outcome"/>
    <w:p>
      <w:pPr>
        <w:pStyle w:val="Heading3"/>
      </w:pPr>
      <w:r>
        <w:t xml:space="preserve">Bearish outcome</w:t>
      </w:r>
    </w:p>
    <w:p>
      <w:pPr>
        <w:pStyle w:val="Compact"/>
        <w:numPr>
          <w:ilvl w:val="0"/>
          <w:numId w:val="1014"/>
        </w:numPr>
      </w:pPr>
      <w:r>
        <w:t xml:space="preserve">Organic revenue falls below the high-single-digit cadence implied after Q1.</w:t>
      </w:r>
    </w:p>
    <w:p>
      <w:pPr>
        <w:pStyle w:val="Compact"/>
        <w:numPr>
          <w:ilvl w:val="0"/>
          <w:numId w:val="1014"/>
        </w:numPr>
      </w:pPr>
      <w:r>
        <w:t xml:space="preserve">Grid Automation remains meaningfully negative.</w:t>
      </w:r>
    </w:p>
    <w:p>
      <w:pPr>
        <w:pStyle w:val="Compact"/>
        <w:numPr>
          <w:ilvl w:val="0"/>
          <w:numId w:val="1014"/>
        </w:numPr>
      </w:pPr>
      <w:r>
        <w:t xml:space="preserve">Data-center orders or capacity conversion weaken.</w:t>
      </w:r>
    </w:p>
    <w:p>
      <w:pPr>
        <w:pStyle w:val="Compact"/>
        <w:numPr>
          <w:ilvl w:val="0"/>
          <w:numId w:val="1014"/>
        </w:numPr>
      </w:pPr>
      <w:r>
        <w:t xml:space="preserve">Electrical margin pressure exceeds management’s prior framing.</w:t>
      </w:r>
    </w:p>
    <w:p>
      <w:pPr>
        <w:pStyle w:val="Compact"/>
        <w:numPr>
          <w:ilvl w:val="0"/>
          <w:numId w:val="1014"/>
        </w:numPr>
      </w:pPr>
      <w:r>
        <w:t xml:space="preserve">Price fails to keep pace with metals inflation.</w:t>
      </w:r>
    </w:p>
    <w:p>
      <w:pPr>
        <w:pStyle w:val="Compact"/>
        <w:numPr>
          <w:ilvl w:val="0"/>
          <w:numId w:val="1014"/>
        </w:numPr>
      </w:pPr>
      <w:r>
        <w:t xml:space="preserve">The NSI guidance increase is offset by unexpectedly high interest, integration or purchase-accounting costs.</w:t>
      </w:r>
    </w:p>
    <w:p>
      <w:pPr>
        <w:pStyle w:val="Compact"/>
        <w:numPr>
          <w:ilvl w:val="0"/>
          <w:numId w:val="1014"/>
        </w:numPr>
      </w:pPr>
      <w:r>
        <w:t xml:space="preserve">Free-cash-flow guidance is reduced or leverage remains elevated longer than expected.</w:t>
      </w:r>
    </w:p>
    <w:p>
      <w:r>
        <w:pict>
          <v:rect style="width:0;height:1.5pt" o:hralign="center" o:hrstd="t" o:hr="t"/>
        </w:pict>
      </w:r>
    </w:p>
    <w:bookmarkEnd w:id="29"/>
    <w:bookmarkEnd w:id="30"/>
    <w:bookmarkStart w:id="32" w:name="bottom-line"/>
    <w:p>
      <w:pPr>
        <w:pStyle w:val="Heading2"/>
      </w:pPr>
      <w:r>
        <w:t xml:space="preserve">Bottom line</w:t>
      </w:r>
    </w:p>
    <w:p>
      <w:pPr>
        <w:pStyle w:val="FirstParagraph"/>
      </w:pPr>
      <w:r>
        <w:t xml:space="preserve">Hubbell enters Q2 with unusually strong exposure to two of the market’s highest-quality industrial investment cycles:</w:t>
      </w:r>
      <w:r>
        <w:t xml:space="preserve"> </w:t>
      </w:r>
      <w:r>
        <w:rPr>
          <w:b/>
          <w:bCs/>
        </w:rPr>
        <w:t xml:space="preserve">utility-grid expansion</w:t>
      </w:r>
      <w:r>
        <w:t xml:space="preserve"> </w:t>
      </w:r>
      <w:r>
        <w:t xml:space="preserve">and</w:t>
      </w:r>
      <w:r>
        <w:t xml:space="preserve"> </w:t>
      </w:r>
      <w:r>
        <w:rPr>
          <w:b/>
          <w:bCs/>
        </w:rPr>
        <w:t xml:space="preserve">data-center electrical infrastructure</w:t>
      </w:r>
      <w:r>
        <w:t xml:space="preserve">. The underlying setup remains favorable, and the NSI acquisition adds additional products, scale and channel opportunities.</w:t>
      </w:r>
    </w:p>
    <w:p>
      <w:pPr>
        <w:pStyle w:val="BodyText"/>
      </w:pPr>
      <w:r>
        <w:t xml:space="preserve">However, the report needs to demonstrate that Hubbell’s strength remains</w:t>
      </w:r>
      <w:r>
        <w:t xml:space="preserve"> </w:t>
      </w:r>
      <w:r>
        <w:rPr>
          <w:b/>
          <w:bCs/>
        </w:rPr>
        <w:t xml:space="preserve">organic and broad-based</w:t>
      </w:r>
      <w:r>
        <w:t xml:space="preserve">. With the stock trading around 25x the midpoint of the old earnings guide, investors are unlikely to reward a mechanical NSI-related guidance increase on its own.</w:t>
      </w:r>
    </w:p>
    <w:p>
      <w:pPr>
        <w:pStyle w:val="BodyText"/>
      </w:pPr>
      <w:r>
        <w:t xml:space="preserve">The cleanest positive thesis would be:</w:t>
      </w:r>
    </w:p>
    <w:p>
      <w:pPr>
        <w:pStyle w:val="BlockText"/>
      </w:pPr>
      <w:r>
        <w:rPr>
          <w:b/>
          <w:bCs/>
        </w:rPr>
        <w:t xml:space="preserve">Sustained double-digit Grid Infrastructure and data-center growth, Grid Automation turning positive, stable price/cost execution, and an NSI-adjusted outlook showing genuine EPS accretion with manageable leverage.</w:t>
      </w:r>
    </w:p>
    <w:bookmarkStart w:id="31" w:name="sources"/>
    <w:p>
      <w:pPr>
        <w:pStyle w:val="Heading3"/>
      </w:pPr>
      <w:r>
        <w:t xml:space="preserve">Sources</w:t>
      </w:r>
    </w:p>
    <w:p>
      <w:pPr>
        <w:pStyle w:val="Compact"/>
        <w:numPr>
          <w:ilvl w:val="0"/>
          <w:numId w:val="1015"/>
        </w:numPr>
      </w:pPr>
      <w:r>
        <w:t xml:space="preserve">Hubbell Q1 2026 results and prior outlook. (</w:t>
      </w:r>
      <w:hyperlink r:id="rId14">
        <w:r>
          <w:rPr>
            <w:rStyle w:val="Hyperlink"/>
          </w:rPr>
          <w:t xml:space="preserve">hubbell.gcs-web.com</w:t>
        </w:r>
      </w:hyperlink>
      <w:r>
        <w:t xml:space="preserve">)</w:t>
      </w:r>
    </w:p>
    <w:p>
      <w:pPr>
        <w:pStyle w:val="Compact"/>
        <w:numPr>
          <w:ilvl w:val="0"/>
          <w:numId w:val="1015"/>
        </w:numPr>
      </w:pPr>
      <w:r>
        <w:t xml:space="preserve">Hubbell’s Q2 reporting schedule. (</w:t>
      </w:r>
      <w:hyperlink r:id="rId9">
        <w:r>
          <w:rPr>
            <w:rStyle w:val="Hyperlink"/>
          </w:rPr>
          <w:t xml:space="preserve">globenewswire.com</w:t>
        </w:r>
      </w:hyperlink>
      <w:r>
        <w:t xml:space="preserve">)</w:t>
      </w:r>
    </w:p>
    <w:p>
      <w:pPr>
        <w:pStyle w:val="Compact"/>
        <w:numPr>
          <w:ilvl w:val="0"/>
          <w:numId w:val="1015"/>
        </w:numPr>
      </w:pPr>
      <w:r>
        <w:t xml:space="preserve">NSI acquisition announcement and completion. (</w:t>
      </w:r>
      <w:hyperlink r:id="rId12">
        <w:r>
          <w:rPr>
            <w:rStyle w:val="Hyperlink"/>
          </w:rPr>
          <w:t xml:space="preserve">hubbell.gcs-web.com</w:t>
        </w:r>
      </w:hyperlink>
      <w:r>
        <w:t xml:space="preserve">)</w:t>
      </w:r>
    </w:p>
    <w:p>
      <w:pPr>
        <w:pStyle w:val="Compact"/>
        <w:numPr>
          <w:ilvl w:val="0"/>
          <w:numId w:val="1015"/>
        </w:numPr>
      </w:pPr>
      <w:r>
        <w:t xml:space="preserve">NSI financing disclosures. (</w:t>
      </w:r>
      <w:hyperlink r:id="rId22">
        <w:r>
          <w:rPr>
            <w:rStyle w:val="Hyperlink"/>
          </w:rPr>
          <w:t xml:space="preserve">hubbell.gcs-web.com</w:t>
        </w:r>
      </w:hyperlink>
      <w:r>
        <w:t xml:space="preserve">)</w:t>
      </w:r>
    </w:p>
    <w:p>
      <w:pPr>
        <w:pStyle w:val="Compact"/>
        <w:numPr>
          <w:ilvl w:val="0"/>
          <w:numId w:val="1015"/>
        </w:numPr>
      </w:pPr>
      <w:r>
        <w:t xml:space="preserve">Published Q2 consensus estimates. (</w:t>
      </w:r>
      <w:hyperlink r:id="rId11">
        <w:r>
          <w:rPr>
            <w:rStyle w:val="Hyperlink"/>
          </w:rPr>
          <w:t xml:space="preserve">benzinga.com</w:t>
        </w:r>
      </w:hyperlink>
      <w:r>
        <w:t xml:space="preserve">)</w:t>
      </w:r>
    </w:p>
    <w:bookmarkEnd w:id="31"/>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hubbell.gcs-web.com/news-releases/news-release-details/hubbell-acquire-nsi-industries?utm_source=openai" TargetMode="External" /><Relationship Type="http://schemas.openxmlformats.org/officeDocument/2006/relationships/hyperlink" Id="rId22" Target="https://hubbell.gcs-web.com/news-releases/news-release-details/hubbell-incorporated-prices-19-billion-senior-notes-offering?utm_source=openai" TargetMode="External" /><Relationship Type="http://schemas.openxmlformats.org/officeDocument/2006/relationships/hyperlink" Id="rId14" Target="https://hubbell.gcs-web.com/news-releases/news-release-details/hubbell-reports-first-quarter-2026-results?utm_source=openai" TargetMode="External" /><Relationship Type="http://schemas.openxmlformats.org/officeDocument/2006/relationships/hyperlink" Id="rId11" Target="https://www.benzinga.com/quote/HUBB/earnings?utm_source=openai" TargetMode="External" /><Relationship Type="http://schemas.openxmlformats.org/officeDocument/2006/relationships/hyperlink" Id="rId9" Target="https://www.globenewswire.com/news-release/2026/07/13/3326459/0/en/Hubbell-to-Announce-Second-Quarter-2026-Results-on-July-28-2026.html?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hubbell.gcs-web.com/news-releases/news-release-details/hubbell-acquire-nsi-industries?utm_source=openai" TargetMode="External" /><Relationship Type="http://schemas.openxmlformats.org/officeDocument/2006/relationships/hyperlink" Id="rId22" Target="https://hubbell.gcs-web.com/news-releases/news-release-details/hubbell-incorporated-prices-19-billion-senior-notes-offering?utm_source=openai" TargetMode="External" /><Relationship Type="http://schemas.openxmlformats.org/officeDocument/2006/relationships/hyperlink" Id="rId14" Target="https://hubbell.gcs-web.com/news-releases/news-release-details/hubbell-reports-first-quarter-2026-results?utm_source=openai" TargetMode="External" /><Relationship Type="http://schemas.openxmlformats.org/officeDocument/2006/relationships/hyperlink" Id="rId11" Target="https://www.benzinga.com/quote/HUBB/earnings?utm_source=openai" TargetMode="External" /><Relationship Type="http://schemas.openxmlformats.org/officeDocument/2006/relationships/hyperlink" Id="rId9" Target="https://www.globenewswire.com/news-release/2026/07/13/3326459/0/en/Hubbell-to-Announce-Second-Quarter-2026-Results-on-July-28-2026.html?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2026-07-28T00:42:26Z</dcterms:created>
  <dcterms:modified xsi:type="dcterms:W3CDTF">2026-07-28T00:42:26Z</dcterms:modified>
</cp:coreProperties>
</file>

<file path=docProps/custom.xml><?xml version="1.0" encoding="utf-8"?>
<Properties xmlns="http://schemas.openxmlformats.org/officeDocument/2006/custom-properties" xmlns:vt="http://schemas.openxmlformats.org/officeDocument/2006/docPropsVTypes"/>
</file>