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hubbell-nyse-hubb--2q26-earnings-preview"/>
    <w:p>
      <w:pPr>
        <w:pStyle w:val="Heading1"/>
      </w:pPr>
      <w:r>
        <w:t xml:space="preserve">Hubbell (NYSE: HUBB) — 2Q26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Today is</w:t>
      </w:r>
      <w:r>
        <w:t xml:space="preserve"> </w:t>
      </w:r>
      <w:r>
        <w:rPr>
          <w:b/>
          <w:bCs/>
        </w:rPr>
        <w:t xml:space="preserve">Tuesday, July 28, 2026</w:t>
      </w:r>
      <w:r>
        <w:t xml:space="preserve">. Therefore, an earnings event dated</w:t>
      </w:r>
      <w:r>
        <w:t xml:space="preserve"> </w:t>
      </w:r>
      <w:r>
        <w:rPr>
          <w:b/>
          <w:bCs/>
        </w:rPr>
        <w:t xml:space="preserve">July 28, 2026</w:t>
      </w:r>
      <w:r>
        <w:t xml:space="preserve"> </w:t>
      </w:r>
      <w:r>
        <w:t xml:space="preserve">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This preview treats the scheduled event as Hubbell’s</w:t>
      </w:r>
      <w:r>
        <w:t xml:space="preserve"> </w:t>
      </w:r>
      <w:r>
        <w:rPr>
          <w:b/>
          <w:bCs/>
        </w:rPr>
        <w:t xml:space="preserve">2Q26 earnings release/call on July 28</w:t>
      </w:r>
      <w:r>
        <w:t xml:space="preserve">.</w:t>
      </w:r>
    </w:p>
    <w:bookmarkStart w:id="9" w:name="X31ab15a4b96902f8f2cfff9b80ff6b57701a1de"/>
    <w:p>
      <w:pPr>
        <w:pStyle w:val="Heading2"/>
      </w:pPr>
      <w:r>
        <w:t xml:space="preserve">Investment setup: secular demand is strong; the report must validate execution and the next leg of growth</w:t>
      </w:r>
    </w:p>
    <w:p>
      <w:pPr>
        <w:pStyle w:val="FirstParagraph"/>
      </w:pPr>
      <w:r>
        <w:t xml:space="preserve">Hubbell enters 2Q with operating momentum in its two most attractive exposures—</w:t>
      </w:r>
      <w:r>
        <w:rPr>
          <w:b/>
          <w:bCs/>
        </w:rPr>
        <w:t xml:space="preserve">utility transmission &amp; distribution (T&amp;D)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data-center electrical infrastructure</w:t>
      </w:r>
      <w:r>
        <w:t xml:space="preserve">—but also with a higher bar following a strong 1Q and a major pending acquisition.</w:t>
      </w:r>
    </w:p>
    <w:p>
      <w:pPr>
        <w:pStyle w:val="BodyText"/>
      </w:pPr>
      <w:r>
        <w:t xml:space="preserve">The core question for investors is not whether Hubbell can post growth this quarter; management’s 1Q commentary suggested a constructive setup. The more important question is whether it can show that: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Grid Infrastructure demand remains broad and durable</w:t>
      </w:r>
      <w:r>
        <w:t xml:space="preserve">, rather than merely project- or channel-driven;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Data-center growth is sustaining or accelerating</w:t>
      </w:r>
      <w:r>
        <w:t xml:space="preserve"> </w:t>
      </w:r>
      <w:r>
        <w:t xml:space="preserve">without capacity becoming the limiting factor;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Pricing and productivity continue to offset inflation and tariffs</w:t>
      </w:r>
      <w:r>
        <w:t xml:space="preserve"> </w:t>
      </w:r>
      <w:r>
        <w:t xml:space="preserve">without eroding margins;</w:t>
      </w:r>
    </w:p>
    <w:p>
      <w:pPr>
        <w:pStyle w:val="Compact"/>
        <w:numPr>
          <w:ilvl w:val="0"/>
          <w:numId w:val="1001"/>
        </w:numPr>
      </w:pPr>
      <w:r>
        <w:t xml:space="preserve">The proposed</w:t>
      </w:r>
      <w:r>
        <w:t xml:space="preserve"> </w:t>
      </w:r>
      <w:r>
        <w:rPr>
          <w:b/>
          <w:bCs/>
        </w:rPr>
        <w:t xml:space="preserve">$3.0 billion NSI Industries acquisition</w:t>
      </w:r>
      <w:r>
        <w:t xml:space="preserve"> </w:t>
      </w:r>
      <w:r>
        <w:t xml:space="preserve">is proceeding on schedule and remains accretive after financing costs.</w:t>
      </w:r>
    </w:p>
    <w:p>
      <w:pPr>
        <w:pStyle w:val="FirstParagraph"/>
      </w:pPr>
      <w:r>
        <w:t xml:space="preserve">My base view is that the fundamental setup remains favorable, but HUBB needs to deliver solid orders, sustained margin discipline, and a confident full-year outlook to support the stock after its strong relative operating performance.</w:t>
      </w:r>
    </w:p>
    <w:p>
      <w:r>
        <w:pict>
          <v:rect style="width:0;height:1.5pt" o:hralign="center" o:hrstd="t" o:hr="t"/>
        </w:pict>
      </w:r>
    </w:p>
    <w:bookmarkEnd w:id="9"/>
    <w:bookmarkStart w:id="10" w:name="what-hubbell-established-in-1q"/>
    <w:p>
      <w:pPr>
        <w:pStyle w:val="Heading2"/>
      </w:pPr>
      <w:r>
        <w:t xml:space="preserve">What Hubbell established in 1Q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1Q26 result</w:t>
            </w:r>
          </w:p>
        </w:tc>
        <w:tc>
          <w:tcPr/>
          <w:p>
            <w:pPr>
              <w:pStyle w:val="Compact"/>
            </w:pPr>
            <w:r>
              <w:t xml:space="preserve">YoY change / commentary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$1.52B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+11%</w:t>
            </w:r>
            <w:r>
              <w:t xml:space="preserve">, including</w:t>
            </w:r>
            <w:r>
              <w:t xml:space="preserve"> </w:t>
            </w:r>
            <w:r>
              <w:rPr>
                <w:b/>
                <w:bCs/>
              </w:rPr>
              <w:t xml:space="preserve">+8.2% organic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$3.93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+16%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19.8%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+110 bps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Utility Solutions organic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+6.8%</w:t>
            </w:r>
          </w:p>
        </w:tc>
        <w:tc>
          <w:tcPr/>
          <w:p>
            <w:pPr>
              <w:pStyle w:val="Compact"/>
            </w:pPr>
            <w:r>
              <w:t xml:space="preserve">Grid Infrastructure +12%; Grid Automation -7%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Electrical Solutions organic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+10.6%</w:t>
            </w:r>
          </w:p>
        </w:tc>
        <w:tc>
          <w:tcPr/>
          <w:p>
            <w:pPr>
              <w:pStyle w:val="Compact"/>
            </w:pPr>
            <w:r>
              <w:t xml:space="preserve">Supported by data centers, light industrial and nonresidential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Data-center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~+40%</w:t>
            </w:r>
          </w:p>
        </w:tc>
        <w:tc>
          <w:tcPr/>
          <w:p>
            <w:pPr>
              <w:pStyle w:val="Compact"/>
            </w:pPr>
            <w:r>
              <w:t xml:space="preserve">Management raised FY data-center outlook to</w:t>
            </w:r>
            <w:r>
              <w:t xml:space="preserve"> </w:t>
            </w:r>
            <w:r>
              <w:rPr>
                <w:b/>
                <w:bCs/>
              </w:rPr>
              <w:t xml:space="preserve">more than +25%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$46M</w:t>
            </w:r>
          </w:p>
        </w:tc>
        <w:tc>
          <w:tcPr/>
          <w:p>
            <w:pPr>
              <w:pStyle w:val="Compact"/>
            </w:pPr>
            <w:r>
              <w:t xml:space="preserve">Up from $11M in 1Q25</w:t>
            </w:r>
          </w:p>
        </w:tc>
      </w:tr>
    </w:tbl>
    <w:p>
      <w:pPr>
        <w:pStyle w:val="BodyText"/>
      </w:pPr>
      <w:r>
        <w:t xml:space="preserve">Hubbell also raised full-year guidance after 1Q: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Total sales growth:</w:t>
      </w:r>
      <w:r>
        <w:t xml:space="preserve"> </w:t>
      </w:r>
      <w:r>
        <w:rPr>
          <w:b/>
          <w:bCs/>
        </w:rPr>
        <w:t xml:space="preserve">8%–11%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Organic sales growth:</w:t>
      </w:r>
      <w:r>
        <w:t xml:space="preserve"> </w:t>
      </w:r>
      <w:r>
        <w:rPr>
          <w:b/>
          <w:bCs/>
        </w:rPr>
        <w:t xml:space="preserve">6%–9%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Adjusted EPS:</w:t>
      </w:r>
      <w:r>
        <w:t xml:space="preserve"> </w:t>
      </w:r>
      <m:oMath>
        <m:r>
          <m:t>19.30</m:t>
        </m:r>
        <m:r>
          <m:rPr>
            <m:sty m:val="p"/>
          </m:rPr>
          <m:t>–</m:t>
        </m:r>
      </m:oMath>
      <w:r>
        <w:rPr>
          <w:b/>
          <w:bCs/>
        </w:rPr>
        <w:t xml:space="preserve">19.85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Free-cash-flow conversion:</w:t>
      </w:r>
      <w:r>
        <w:t xml:space="preserve"> </w:t>
      </w:r>
      <w:r>
        <w:t xml:space="preserve">at least</w:t>
      </w:r>
      <w:r>
        <w:t xml:space="preserve"> </w:t>
      </w:r>
      <w:r>
        <w:rPr>
          <w:b/>
          <w:bCs/>
        </w:rPr>
        <w:t xml:space="preserve">90% of adjusted net income</w:t>
      </w:r>
    </w:p>
    <w:p>
      <w:pPr>
        <w:pStyle w:val="FirstParagraph"/>
      </w:pPr>
      <w:r>
        <w:t xml:space="preserve">The raised outlook was supported by stronger visibility in utility T&amp;D and data centers, plus incremental pricing intended to offset inflation—particularly metals-related costs.</w:t>
      </w:r>
    </w:p>
    <w:p>
      <w:r>
        <w:pict>
          <v:rect style="width:0;height:1.5pt" o:hralign="center" o:hrstd="t" o:hr="t"/>
        </w:pict>
      </w:r>
    </w:p>
    <w:bookmarkEnd w:id="10"/>
    <w:bookmarkStart w:id="14" w:name="the-three-most-important-issues-for-2q"/>
    <w:p>
      <w:pPr>
        <w:pStyle w:val="Heading2"/>
      </w:pPr>
      <w:r>
        <w:t xml:space="preserve">The three most important issues for 2Q</w:t>
      </w:r>
    </w:p>
    <w:bookmarkStart w:id="11" w:name="Xb6315e62b116516f8f9fc2bfe52797fc4fcf0f2"/>
    <w:p>
      <w:pPr>
        <w:pStyle w:val="Heading3"/>
      </w:pPr>
      <w:r>
        <w:t xml:space="preserve">1. Utility T&amp;D: orders, transmission/substation, and distribution breadth</w:t>
      </w:r>
    </w:p>
    <w:p>
      <w:pPr>
        <w:pStyle w:val="FirstParagraph"/>
      </w:pPr>
      <w:r>
        <w:t xml:space="preserve">Utility Solutions is the largest and most profitable segment, making the durability of T&amp;D demand the central issue for the print.</w:t>
      </w:r>
    </w:p>
    <w:p>
      <w:pPr>
        <w:pStyle w:val="BodyText"/>
      </w:pPr>
      <w:r>
        <w:t xml:space="preserve">In 1Q, Grid Infrastructure grew</w:t>
      </w:r>
      <w:r>
        <w:t xml:space="preserve"> </w:t>
      </w:r>
      <w:r>
        <w:rPr>
          <w:b/>
          <w:bCs/>
        </w:rPr>
        <w:t xml:space="preserve">12% organically</w:t>
      </w:r>
      <w:r>
        <w:t xml:space="preserve">, driven by transmission, substations, and distribution. Management indicated that utilities are increasing capital budgets to accommodate load growth, data-center-related power demand, grid resiliency, and aging infrastructure. Hubbell also cited a Grid Infrastructure book-to-bill ratio around</w:t>
      </w:r>
      <w:r>
        <w:t xml:space="preserve"> </w:t>
      </w:r>
      <w:r>
        <w:rPr>
          <w:b/>
          <w:bCs/>
        </w:rPr>
        <w:t xml:space="preserve">1.2x</w:t>
      </w:r>
      <w:r>
        <w:t xml:space="preserve"> </w:t>
      </w:r>
      <w:r>
        <w:t xml:space="preserve">in 1Q—stronger than normal first-quarter seasonal ordering.</w:t>
      </w:r>
    </w:p>
    <w:p>
      <w:pPr>
        <w:pStyle w:val="BodyText"/>
      </w:pPr>
      <w:r>
        <w:t xml:space="preserve">For 2Q, investors should look for: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High-single-digit or better Utility Solutions organic growth</w:t>
      </w:r>
      <w:r>
        <w:t xml:space="preserve">, consistent with management’s full-year outlook.</w:t>
      </w:r>
    </w:p>
    <w:p>
      <w:pPr>
        <w:pStyle w:val="Compact"/>
        <w:numPr>
          <w:ilvl w:val="0"/>
          <w:numId w:val="1003"/>
        </w:numPr>
      </w:pPr>
      <w:r>
        <w:t xml:space="preserve">Confirmation that</w:t>
      </w:r>
      <w:r>
        <w:t xml:space="preserve"> </w:t>
      </w:r>
      <w:r>
        <w:rPr>
          <w:b/>
          <w:bCs/>
        </w:rPr>
        <w:t xml:space="preserve">orders remain ahead of sales</w:t>
      </w:r>
      <w:r>
        <w:t xml:space="preserve">, particularly in transmission and substation projects.</w:t>
      </w:r>
    </w:p>
    <w:p>
      <w:pPr>
        <w:pStyle w:val="Compact"/>
        <w:numPr>
          <w:ilvl w:val="0"/>
          <w:numId w:val="1003"/>
        </w:numPr>
      </w:pPr>
      <w:r>
        <w:t xml:space="preserve">Evidence that distribution demand remains healthy after prior channel destocking.</w:t>
      </w:r>
    </w:p>
    <w:p>
      <w:pPr>
        <w:pStyle w:val="Compact"/>
        <w:numPr>
          <w:ilvl w:val="0"/>
          <w:numId w:val="1003"/>
        </w:numPr>
      </w:pPr>
      <w:r>
        <w:t xml:space="preserve">Further details on the emerging</w:t>
      </w:r>
      <w:r>
        <w:t xml:space="preserve"> </w:t>
      </w:r>
      <w:r>
        <w:rPr>
          <w:b/>
          <w:bCs/>
        </w:rPr>
        <w:t xml:space="preserve">765 kV transmission</w:t>
      </w:r>
      <w:r>
        <w:t xml:space="preserve"> </w:t>
      </w:r>
      <w:r>
        <w:t xml:space="preserve">opportunity. Management has framed this as an incremental, multi-year opportunity and estimated a roughly</w:t>
      </w:r>
      <w:r>
        <w:t xml:space="preserve"> </w:t>
      </w:r>
      <w:r>
        <w:rPr>
          <w:b/>
          <w:bCs/>
        </w:rPr>
        <w:t xml:space="preserve">$1.5 billion addressable market over the next decade</w:t>
      </w:r>
      <w:r>
        <w:t xml:space="preserve">.</w:t>
      </w:r>
    </w:p>
    <w:p>
      <w:pPr>
        <w:pStyle w:val="FirstParagraph"/>
      </w:pPr>
      <w:r>
        <w:rPr>
          <w:b/>
          <w:bCs/>
        </w:rPr>
        <w:t xml:space="preserve">Why it matters:</w:t>
      </w:r>
      <w:r>
        <w:t xml:space="preserve"> </w:t>
      </w:r>
      <w:r>
        <w:t xml:space="preserve">HUBB’s premium industrial narrative rests on its ability to convert rising grid investment into sustained organic growth and incremental margins. A slowdown in orders or weaker distribution commentary would challenge that thesis quickly.</w:t>
      </w:r>
    </w:p>
    <w:p>
      <w:r>
        <w:pict>
          <v:rect style="width:0;height:1.5pt" o:hralign="center" o:hrstd="t" o:hr="t"/>
        </w:pict>
      </w:r>
    </w:p>
    <w:bookmarkEnd w:id="11"/>
    <w:bookmarkStart w:id="12" w:name="Xf6da0cdad19f829e5da3880bdf2c03584dedd18"/>
    <w:p>
      <w:pPr>
        <w:pStyle w:val="Heading3"/>
      </w:pPr>
      <w:r>
        <w:t xml:space="preserve">2. Data centers: growth rate, capacity, and mix</w:t>
      </w:r>
    </w:p>
    <w:p>
      <w:pPr>
        <w:pStyle w:val="FirstParagraph"/>
      </w:pPr>
      <w:r>
        <w:t xml:space="preserve">Electrical Solutions delivered</w:t>
      </w:r>
      <w:r>
        <w:t xml:space="preserve"> </w:t>
      </w:r>
      <w:r>
        <w:rPr>
          <w:b/>
          <w:bCs/>
        </w:rPr>
        <w:t xml:space="preserve">11% organic growth</w:t>
      </w:r>
      <w:r>
        <w:t xml:space="preserve"> </w:t>
      </w:r>
      <w:r>
        <w:t xml:space="preserve">in 1Q, led by roughly</w:t>
      </w:r>
      <w:r>
        <w:t xml:space="preserve"> </w:t>
      </w:r>
      <w:r>
        <w:rPr>
          <w:b/>
          <w:bCs/>
        </w:rPr>
        <w:t xml:space="preserve">40% growth in data-center revenue</w:t>
      </w:r>
      <w:r>
        <w:t xml:space="preserve">. Hubbell sells both short-cycle electrical components and longer-cycle modular power-distribution skids into data-center construction.</w:t>
      </w:r>
    </w:p>
    <w:p>
      <w:pPr>
        <w:pStyle w:val="BodyText"/>
      </w:pPr>
      <w:r>
        <w:t xml:space="preserve">Management previously said that its longer-cycle skid business was largely booked through the year, while it was continuing to add capacity and inventory on the shorter-cycle side. That makes 2Q commentary on capacity especially important.</w:t>
      </w:r>
    </w:p>
    <w:p>
      <w:pPr>
        <w:pStyle w:val="BodyText"/>
      </w:pPr>
      <w:r>
        <w:t xml:space="preserve">Key questions:</w:t>
      </w:r>
    </w:p>
    <w:p>
      <w:pPr>
        <w:pStyle w:val="Compact"/>
        <w:numPr>
          <w:ilvl w:val="0"/>
          <w:numId w:val="1004"/>
        </w:numPr>
      </w:pPr>
      <w:r>
        <w:t xml:space="preserve">Is data-center revenue still tracking toward—or exceeding—the company’s</w:t>
      </w:r>
      <w:r>
        <w:t xml:space="preserve"> </w:t>
      </w:r>
      <w:r>
        <w:rPr>
          <w:b/>
          <w:bCs/>
        </w:rPr>
        <w:t xml:space="preserve">25%+ full-year growth</w:t>
      </w:r>
      <w:r>
        <w:t xml:space="preserve"> </w:t>
      </w:r>
      <w:r>
        <w:t xml:space="preserve">outlook?</w:t>
      </w:r>
    </w:p>
    <w:p>
      <w:pPr>
        <w:pStyle w:val="Compact"/>
        <w:numPr>
          <w:ilvl w:val="0"/>
          <w:numId w:val="1004"/>
        </w:numPr>
      </w:pPr>
      <w:r>
        <w:t xml:space="preserve">Are short-cycle orders continuing to accelerate?</w:t>
      </w:r>
    </w:p>
    <w:p>
      <w:pPr>
        <w:pStyle w:val="Compact"/>
        <w:numPr>
          <w:ilvl w:val="0"/>
          <w:numId w:val="1004"/>
        </w:numPr>
      </w:pPr>
      <w:r>
        <w:t xml:space="preserve">Is Hubbell bringing enough capacity online to capitalize on demand, or is it leaving sales on the table?</w:t>
      </w:r>
    </w:p>
    <w:p>
      <w:pPr>
        <w:pStyle w:val="Compact"/>
        <w:numPr>
          <w:ilvl w:val="0"/>
          <w:numId w:val="1004"/>
        </w:numPr>
      </w:pPr>
      <w:r>
        <w:t xml:space="preserve">Is growth broadening across hyperscale and colocation customers, products, and geographies?</w:t>
      </w:r>
    </w:p>
    <w:p>
      <w:pPr>
        <w:pStyle w:val="FirstParagraph"/>
      </w:pPr>
      <w:r>
        <w:rPr>
          <w:b/>
          <w:bCs/>
        </w:rPr>
        <w:t xml:space="preserve">Read-through:</w:t>
      </w:r>
      <w:r>
        <w:t xml:space="preserve"> </w:t>
      </w:r>
      <w:r>
        <w:t xml:space="preserve">A sustained high-growth data-center result would reinforce HUBB’s structural-growth profile. Any mention of project timing, constraints, customer deferrals, or moderation in orders would likely matter more to the share price than a modest EPS variance.</w:t>
      </w:r>
    </w:p>
    <w:p>
      <w:r>
        <w:pict>
          <v:rect style="width:0;height:1.5pt" o:hralign="center" o:hrstd="t" o:hr="t"/>
        </w:pict>
      </w:r>
    </w:p>
    <w:bookmarkEnd w:id="12"/>
    <w:bookmarkStart w:id="13" w:name="Xcf07bab923cf2e08ac6f14b63a83b5fe9e5d023"/>
    <w:p>
      <w:pPr>
        <w:pStyle w:val="Heading3"/>
      </w:pPr>
      <w:r>
        <w:t xml:space="preserve">3. Price/cost and margins: growth quality matters</w:t>
      </w:r>
    </w:p>
    <w:p>
      <w:pPr>
        <w:pStyle w:val="FirstParagraph"/>
      </w:pPr>
      <w:r>
        <w:t xml:space="preserve">Hubbell’s 1Q adjusted operating margin expanded</w:t>
      </w:r>
      <w:r>
        <w:t xml:space="preserve"> </w:t>
      </w:r>
      <w:r>
        <w:rPr>
          <w:b/>
          <w:bCs/>
        </w:rPr>
        <w:t xml:space="preserve">110 bps</w:t>
      </w:r>
      <w:r>
        <w:t xml:space="preserve">, but management signaled that the full-year margin cadence would moderate. At the midpoint of guidance, it expected only about</w:t>
      </w:r>
      <w:r>
        <w:t xml:space="preserve"> </w:t>
      </w:r>
      <w:r>
        <w:rPr>
          <w:b/>
          <w:bCs/>
        </w:rPr>
        <w:t xml:space="preserve">20 bps</w:t>
      </w:r>
      <w:r>
        <w:t xml:space="preserve"> </w:t>
      </w:r>
      <w:r>
        <w:t xml:space="preserve">of full-year adjusted-margin expansion, with greater improvement in Utility Solutions and approximately flat margins in Electrical Solutions.</w:t>
      </w:r>
    </w:p>
    <w:p>
      <w:pPr>
        <w:pStyle w:val="BodyText"/>
      </w:pPr>
      <w:r>
        <w:t xml:space="preserve">The reason: Hubbell expects to offset higher raw-material, tariff, and broader inflation costs on a</w:t>
      </w:r>
      <w:r>
        <w:t xml:space="preserve"> </w:t>
      </w:r>
      <w:r>
        <w:rPr>
          <w:b/>
          <w:bCs/>
        </w:rPr>
        <w:t xml:space="preserve">dollar-for-dollar basis</w:t>
      </w:r>
      <w:r>
        <w:t xml:space="preserve">, but that outcome can still be margin-dilutive because price-driven revenue carries a lower incremental margin than volume-driven growth.</w:t>
      </w:r>
    </w:p>
    <w:p>
      <w:pPr>
        <w:pStyle w:val="BodyText"/>
      </w:pPr>
      <w:r>
        <w:t xml:space="preserve">For 2Q, focus on: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Adjusted operating margin</w:t>
      </w:r>
      <w:r>
        <w:t xml:space="preserve"> </w:t>
      </w:r>
      <w:r>
        <w:t xml:space="preserve">and incrementals relative to organic growth;</w:t>
      </w:r>
    </w:p>
    <w:p>
      <w:pPr>
        <w:pStyle w:val="Compact"/>
        <w:numPr>
          <w:ilvl w:val="0"/>
          <w:numId w:val="1005"/>
        </w:numPr>
      </w:pPr>
      <w:r>
        <w:t xml:space="preserve">Whether price/cost/productivity is still positive or at least dollar-neutral;</w:t>
      </w:r>
    </w:p>
    <w:p>
      <w:pPr>
        <w:pStyle w:val="Compact"/>
        <w:numPr>
          <w:ilvl w:val="0"/>
          <w:numId w:val="1005"/>
        </w:numPr>
      </w:pPr>
      <w:r>
        <w:t xml:space="preserve">Metals inflation—especially copper, aluminum, and steel—and tariff exposure;</w:t>
      </w:r>
    </w:p>
    <w:p>
      <w:pPr>
        <w:pStyle w:val="Compact"/>
        <w:numPr>
          <w:ilvl w:val="0"/>
          <w:numId w:val="1005"/>
        </w:numPr>
      </w:pPr>
      <w:r>
        <w:t xml:space="preserve">Electrical Solutions margins, where restructuring and growth investments created pressure in 1Q.</w:t>
      </w:r>
    </w:p>
    <w:p>
      <w:pPr>
        <w:pStyle w:val="FirstParagraph"/>
      </w:pPr>
      <w:r>
        <w:t xml:space="preserve">A healthy report would show continued margin expansion in Utility Solutions and a credible path toward normalization in Electrical Solutions in the second half.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6" w:name="Xab420eaee3cb270387c73d3c4d8e62e96cc6e5a"/>
    <w:p>
      <w:pPr>
        <w:pStyle w:val="Heading2"/>
      </w:pPr>
      <w:r>
        <w:t xml:space="preserve">The wildcard: NSI Industries acquisition and balance-sheet implications</w:t>
      </w:r>
    </w:p>
    <w:p>
      <w:pPr>
        <w:pStyle w:val="FirstParagraph"/>
      </w:pPr>
      <w:r>
        <w:t xml:space="preserve">In May, Hubbell announced an agreement to acquire</w:t>
      </w:r>
      <w:r>
        <w:t xml:space="preserve"> </w:t>
      </w:r>
      <w:r>
        <w:rPr>
          <w:b/>
          <w:bCs/>
        </w:rPr>
        <w:t xml:space="preserve">NSI Industries</w:t>
      </w:r>
      <w:r>
        <w:t xml:space="preserve"> </w:t>
      </w:r>
      <w:r>
        <w:t xml:space="preserve">for</w:t>
      </w:r>
      <w:r>
        <w:t xml:space="preserve"> </w:t>
      </w:r>
      <m:oMath>
        <m:r>
          <m:t>3.0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c</m:t>
        </m:r>
        <m:r>
          <m:t>a</m:t>
        </m:r>
        <m:r>
          <m:t>s</m:t>
        </m:r>
        <m:r>
          <m:t>h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N</m:t>
        </m:r>
        <m:r>
          <m:t>S</m:t>
        </m:r>
        <m:r>
          <m:t>I</m:t>
        </m:r>
        <m:r>
          <m:t>i</m:t>
        </m:r>
        <m:r>
          <m:t>s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e</m:t>
        </m:r>
        <m:r>
          <m:t>d</m:t>
        </m:r>
        <m:r>
          <m:t>t</m:t>
        </m:r>
        <m:r>
          <m:t>o</m:t>
        </m:r>
        <m:r>
          <m:t>g</m:t>
        </m:r>
        <m:r>
          <m:t>e</m:t>
        </m:r>
        <m:r>
          <m:t>n</m:t>
        </m:r>
        <m:r>
          <m:t>e</m:t>
        </m:r>
        <m:r>
          <m:t>r</m:t>
        </m:r>
        <m:r>
          <m:t>a</m:t>
        </m:r>
        <m:r>
          <m:t>t</m:t>
        </m:r>
        <m:r>
          <m:t>e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570 million of 2026 revenue</w:t>
      </w:r>
      <w:r>
        <w:t xml:space="preserve"> </w:t>
      </w:r>
      <w:r>
        <w:t xml:space="preserve">and is positioned in electrical fittings, connectors, components, and wire-management products. Hubbell expects the deal to be accretive to adjusted EPS in 2026 and accretive to Electrical Solutions margins and long-term organic growth.</w:t>
      </w:r>
    </w:p>
    <w:p>
      <w:pPr>
        <w:pStyle w:val="BodyText"/>
      </w:pPr>
      <w:r>
        <w:t xml:space="preserve">The deal is strategically sensible:</w:t>
      </w:r>
    </w:p>
    <w:p>
      <w:pPr>
        <w:pStyle w:val="Compact"/>
        <w:numPr>
          <w:ilvl w:val="0"/>
          <w:numId w:val="1006"/>
        </w:numPr>
      </w:pPr>
      <w:r>
        <w:t xml:space="preserve">Adds complementary products to Electrical Solutions;</w:t>
      </w:r>
    </w:p>
    <w:p>
      <w:pPr>
        <w:pStyle w:val="Compact"/>
        <w:numPr>
          <w:ilvl w:val="0"/>
          <w:numId w:val="1006"/>
        </w:numPr>
      </w:pPr>
      <w:r>
        <w:t xml:space="preserve">Expands exposure to light industrial, network infrastructure, and data-center-adjacent applications;</w:t>
      </w:r>
    </w:p>
    <w:p>
      <w:pPr>
        <w:pStyle w:val="Compact"/>
        <w:numPr>
          <w:ilvl w:val="0"/>
          <w:numId w:val="1006"/>
        </w:numPr>
      </w:pPr>
      <w:r>
        <w:t xml:space="preserve">Creates cross-selling, channel, and manufacturing-efficiency opportunities.</w:t>
      </w:r>
    </w:p>
    <w:p>
      <w:pPr>
        <w:pStyle w:val="FirstParagraph"/>
      </w:pPr>
      <w:r>
        <w:t xml:space="preserve">However, it introduces financial and execution questions. Hubbell arranged a</w:t>
      </w:r>
      <w:r>
        <w:t xml:space="preserve"> </w:t>
      </w:r>
      <m:oMath>
        <m:r>
          <m:t>900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u</m:t>
        </m:r>
        <m:r>
          <m:t>n</m:t>
        </m:r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e</m:t>
        </m:r>
        <m:r>
          <m:t>d</m:t>
        </m:r>
        <m:r>
          <m:t>t</m:t>
        </m:r>
        <m:r>
          <m:t>e</m:t>
        </m:r>
        <m:r>
          <m:t>r</m:t>
        </m:r>
        <m:r>
          <m:t>m</m:t>
        </m:r>
        <m:r>
          <m:t>l</m:t>
        </m:r>
        <m:r>
          <m:t>o</m:t>
        </m:r>
        <m:r>
          <m:t>a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o</m:t>
        </m:r>
        <m:r>
          <m:t>h</m:t>
        </m:r>
        <m:r>
          <m:t>e</m:t>
        </m:r>
        <m:r>
          <m:t>l</m:t>
        </m:r>
        <m:r>
          <m:t>p</m:t>
        </m:r>
        <m:r>
          <m:t>f</m:t>
        </m:r>
        <m:r>
          <m:t>i</m:t>
        </m:r>
        <m:r>
          <m:t>n</m:t>
        </m:r>
        <m:r>
          <m:t>a</m:t>
        </m:r>
        <m:r>
          <m:t>n</m:t>
        </m:r>
        <m:r>
          <m:t>c</m:t>
        </m:r>
        <m:r>
          <m:t>e</m:t>
        </m:r>
        <m:r>
          <m:t>t</m:t>
        </m:r>
        <m:r>
          <m:t>h</m:t>
        </m:r>
        <m:r>
          <m:t>e</m:t>
        </m:r>
        <m:r>
          <m:t>t</m:t>
        </m:r>
        <m:r>
          <m:t>r</m:t>
        </m:r>
        <m:r>
          <m:t>a</m:t>
        </m:r>
        <m:r>
          <m:t>n</m:t>
        </m:r>
        <m:r>
          <m:t>s</m:t>
        </m:r>
        <m:r>
          <m:t>a</m:t>
        </m:r>
        <m:r>
          <m:t>c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,</m:t>
        </m:r>
        <m:r>
          <m:t>i</m:t>
        </m:r>
        <m:r>
          <m:t>n</m:t>
        </m:r>
        <m:r>
          <m:t>a</m:t>
        </m:r>
        <m:r>
          <m:t>d</m:t>
        </m:r>
        <m:r>
          <m:t>d</m:t>
        </m:r>
        <m:r>
          <m:t>i</m:t>
        </m:r>
        <m:r>
          <m:t>t</m:t>
        </m:r>
        <m:r>
          <m:t>i</m:t>
        </m:r>
        <m:r>
          <m:t>o</m:t>
        </m:r>
        <m:r>
          <m:t>n</m:t>
        </m:r>
        <m:r>
          <m:t>t</m:t>
        </m:r>
        <m:r>
          <m:t>o</m:t>
        </m:r>
        <m:r>
          <m:t>c</m:t>
        </m:r>
        <m:r>
          <m:t>a</m:t>
        </m:r>
        <m:r>
          <m:t>s</m:t>
        </m:r>
        <m:r>
          <m:t>h</m:t>
        </m:r>
        <m:r>
          <m:t>o</m:t>
        </m:r>
        <m:r>
          <m:t>n</m:t>
        </m:r>
        <m:r>
          <m:t>h</m:t>
        </m:r>
        <m:r>
          <m:t>a</m:t>
        </m:r>
        <m:r>
          <m:t>n</m:t>
        </m:r>
        <m:r>
          <m:t>d</m:t>
        </m:r>
        <m:r>
          <m:t>a</m:t>
        </m:r>
        <m:r>
          <m:t>n</m:t>
        </m:r>
        <m:r>
          <m:t>d</m:t>
        </m:r>
        <m:r>
          <m:t>o</m:t>
        </m:r>
        <m:r>
          <m:t>t</m:t>
        </m:r>
        <m:r>
          <m:t>h</m:t>
        </m:r>
        <m:r>
          <m:t>e</m:t>
        </m:r>
        <m:r>
          <m:t>r</m:t>
        </m:r>
        <m:r>
          <m:t>d</m:t>
        </m:r>
        <m:r>
          <m:t>e</m:t>
        </m:r>
        <m:r>
          <m:t>b</m:t>
        </m:r>
        <m:r>
          <m:t>t</m:t>
        </m:r>
        <m:r>
          <m:t>f</m:t>
        </m:r>
        <m:r>
          <m:t>i</m:t>
        </m:r>
        <m:r>
          <m:t>n</m:t>
        </m:r>
        <m:r>
          <m:t>a</m:t>
        </m:r>
        <m:r>
          <m:t>n</m:t>
        </m:r>
        <m:r>
          <m:t>c</m:t>
        </m:r>
        <m:r>
          <m:t>i</m:t>
        </m:r>
        <m:r>
          <m:t>n</m:t>
        </m:r>
        <m:r>
          <m:t>g</m:t>
        </m:r>
        <m:r>
          <m:rPr>
            <m:sty m:val="p"/>
          </m:rPr>
          <m:t>.</m:t>
        </m:r>
        <m:r>
          <m:t>A</m:t>
        </m:r>
        <m:r>
          <m:t>t</m:t>
        </m:r>
        <m:r>
          <m:t>M</m:t>
        </m:r>
        <m:r>
          <m:t>a</m:t>
        </m:r>
        <m:r>
          <m:t>r</m:t>
        </m:r>
        <m:r>
          <m:t>c</m:t>
        </m:r>
        <m:r>
          <m:t>h</m:t>
        </m:r>
        <m:r>
          <m:t>31</m:t>
        </m:r>
        <m:r>
          <m:rPr>
            <m:sty m:val="p"/>
          </m:rPr>
          <m:t>,</m:t>
        </m:r>
        <m:r>
          <m:t>H</m:t>
        </m:r>
        <m:r>
          <m:t>u</m:t>
        </m:r>
        <m:r>
          <m:t>b</m:t>
        </m:r>
        <m:r>
          <m:t>b</m:t>
        </m:r>
        <m:r>
          <m:t>e</m:t>
        </m:r>
        <m:r>
          <m:t>l</m:t>
        </m:r>
        <m:r>
          <m:t>l</m:t>
        </m:r>
        <m:r>
          <m:t>h</m:t>
        </m:r>
        <m:r>
          <m:t>a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2.57 billion of total debt</w:t>
      </w:r>
      <w:r>
        <w:t xml:space="preserve"> </w:t>
      </w:r>
      <w:r>
        <w:t xml:space="preserve">and net debt equal to</w:t>
      </w:r>
      <w:r>
        <w:t xml:space="preserve"> </w:t>
      </w:r>
      <w:r>
        <w:rPr>
          <w:b/>
          <w:bCs/>
        </w:rPr>
        <w:t xml:space="preserve">31% of total capital</w:t>
      </w:r>
      <w:r>
        <w:t xml:space="preserve">, before the NSI transaction.</w:t>
      </w:r>
    </w:p>
    <w:bookmarkStart w:id="15" w:name="what-investors-need-from-the-call"/>
    <w:p>
      <w:pPr>
        <w:pStyle w:val="Heading3"/>
      </w:pPr>
      <w:r>
        <w:t xml:space="preserve">What investors need from the call</w:t>
      </w:r>
    </w:p>
    <w:p>
      <w:pPr>
        <w:pStyle w:val="Compact"/>
        <w:numPr>
          <w:ilvl w:val="0"/>
          <w:numId w:val="1007"/>
        </w:numPr>
      </w:pPr>
      <w:r>
        <w:t xml:space="preserve">Has NSI closed? If not, is the expected</w:t>
      </w:r>
      <w:r>
        <w:t xml:space="preserve"> </w:t>
      </w:r>
      <w:r>
        <w:rPr>
          <w:b/>
          <w:bCs/>
        </w:rPr>
        <w:t xml:space="preserve">mid-2026</w:t>
      </w:r>
      <w:r>
        <w:t xml:space="preserve"> </w:t>
      </w:r>
      <w:r>
        <w:t xml:space="preserve">timetable intact?</w:t>
      </w:r>
    </w:p>
    <w:p>
      <w:pPr>
        <w:pStyle w:val="Compact"/>
        <w:numPr>
          <w:ilvl w:val="0"/>
          <w:numId w:val="1007"/>
        </w:numPr>
      </w:pPr>
      <w:r>
        <w:t xml:space="preserve">Is management maintaining its expectation of 2026 adjusted-EPS accretion?</w:t>
      </w:r>
    </w:p>
    <w:p>
      <w:pPr>
        <w:pStyle w:val="Compact"/>
        <w:numPr>
          <w:ilvl w:val="0"/>
          <w:numId w:val="1007"/>
        </w:numPr>
      </w:pPr>
      <w:r>
        <w:t xml:space="preserve">What is the expected leverage and interest-expense impact at closing?</w:t>
      </w:r>
    </w:p>
    <w:p>
      <w:pPr>
        <w:pStyle w:val="Compact"/>
        <w:numPr>
          <w:ilvl w:val="0"/>
          <w:numId w:val="1007"/>
        </w:numPr>
      </w:pPr>
      <w:r>
        <w:t xml:space="preserve">Are there any regulatory, integration, retention, or cost-synergy updates?</w:t>
      </w:r>
    </w:p>
    <w:p>
      <w:pPr>
        <w:pStyle w:val="Compact"/>
        <w:numPr>
          <w:ilvl w:val="0"/>
          <w:numId w:val="1007"/>
        </w:numPr>
      </w:pPr>
      <w:r>
        <w:t xml:space="preserve">How will NSI affect 2H26 reported sales, margins, and free cash flow?</w:t>
      </w:r>
    </w:p>
    <w:p>
      <w:pPr>
        <w:pStyle w:val="FirstParagraph"/>
      </w:pPr>
      <w:r>
        <w:t xml:space="preserve">The acquisition increases the importance of cash conversion and disciplined capital allocation. It also raises the threshold for a “clean” outlook: investors will want specificity, not just strategic optimism.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7" w:name="what-could-drive-an-upside-reaction"/>
    <w:p>
      <w:pPr>
        <w:pStyle w:val="Heading2"/>
      </w:pPr>
      <w:r>
        <w:t xml:space="preserve">What could drive an upside reaction</w:t>
      </w:r>
    </w:p>
    <w:p>
      <w:pPr>
        <w:pStyle w:val="FirstParagraph"/>
      </w:pPr>
      <w:r>
        <w:t xml:space="preserve">A favorable post-earnings outcome would likely require some combination of: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Organic growth toward the high end of the 6%–9% full-year range;</w:t>
      </w:r>
    </w:p>
    <w:p>
      <w:pPr>
        <w:pStyle w:val="Compact"/>
        <w:numPr>
          <w:ilvl w:val="0"/>
          <w:numId w:val="1008"/>
        </w:numPr>
      </w:pPr>
      <w:r>
        <w:t xml:space="preserve">Grid Infrastructure growth that remains double digit or close to it;</w:t>
      </w:r>
    </w:p>
    <w:p>
      <w:pPr>
        <w:pStyle w:val="Compact"/>
        <w:numPr>
          <w:ilvl w:val="0"/>
          <w:numId w:val="1008"/>
        </w:numPr>
      </w:pPr>
      <w:r>
        <w:t xml:space="preserve">Data-center growth that stays well above the full-year</w:t>
      </w:r>
      <w:r>
        <w:t xml:space="preserve"> </w:t>
      </w:r>
      <w:r>
        <w:rPr>
          <w:b/>
          <w:bCs/>
        </w:rPr>
        <w:t xml:space="preserve">25%+</w:t>
      </w:r>
      <w:r>
        <w:t xml:space="preserve"> </w:t>
      </w:r>
      <w:r>
        <w:t xml:space="preserve">expectation;</w:t>
      </w:r>
    </w:p>
    <w:p>
      <w:pPr>
        <w:pStyle w:val="Compact"/>
        <w:numPr>
          <w:ilvl w:val="0"/>
          <w:numId w:val="1008"/>
        </w:numPr>
      </w:pPr>
      <w:r>
        <w:t xml:space="preserve">Positive orders/backlog commentary, particularly in transmission and substations;</w:t>
      </w:r>
    </w:p>
    <w:p>
      <w:pPr>
        <w:pStyle w:val="Compact"/>
        <w:numPr>
          <w:ilvl w:val="0"/>
          <w:numId w:val="1008"/>
        </w:numPr>
      </w:pPr>
      <w:r>
        <w:t xml:space="preserve">Price/cost performance that protects margins despite metals and tariff volatility;</w:t>
      </w:r>
    </w:p>
    <w:p>
      <w:pPr>
        <w:pStyle w:val="Compact"/>
        <w:numPr>
          <w:ilvl w:val="0"/>
          <w:numId w:val="1008"/>
        </w:numPr>
      </w:pPr>
      <w:r>
        <w:t xml:space="preserve">A maintained or raised full-year adjusted-EPS outlook;</w:t>
      </w:r>
    </w:p>
    <w:p>
      <w:pPr>
        <w:pStyle w:val="Compact"/>
        <w:numPr>
          <w:ilvl w:val="0"/>
          <w:numId w:val="1008"/>
        </w:numPr>
      </w:pPr>
      <w:r>
        <w:t xml:space="preserve">A clean NSI closing, financing, and accretion update.</w:t>
      </w:r>
    </w:p>
    <w:p>
      <w:r>
        <w:pict>
          <v:rect style="width:0;height:1.5pt" o:hralign="center" o:hrstd="t" o:hr="t"/>
        </w:pict>
      </w:r>
    </w:p>
    <w:bookmarkEnd w:id="17"/>
    <w:bookmarkStart w:id="18" w:name="what-could-disappoint"/>
    <w:p>
      <w:pPr>
        <w:pStyle w:val="Heading2"/>
      </w:pPr>
      <w:r>
        <w:t xml:space="preserve">What could disappoint</w:t>
      </w:r>
    </w:p>
    <w:p>
      <w:pPr>
        <w:pStyle w:val="FirstParagraph"/>
      </w:pPr>
      <w:r>
        <w:t xml:space="preserve">The principal downside risks into the report are: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Grid Automation remains weak for longer than expected.</w:t>
      </w:r>
      <w:r>
        <w:t xml:space="preserve"> </w:t>
      </w:r>
      <w:r>
        <w:t xml:space="preserve">Management expected this business—including metering and AMI—to return to modest growth in 2Q after stabilizing in 1Q.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Data-center growth decelerates</w:t>
      </w:r>
      <w:r>
        <w:t xml:space="preserve"> </w:t>
      </w:r>
      <w:r>
        <w:t xml:space="preserve">or capacity constraints constrain revenue conversion.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Margins underperform</w:t>
      </w:r>
      <w:r>
        <w:t xml:space="preserve"> </w:t>
      </w:r>
      <w:r>
        <w:t xml:space="preserve">as inflation, tariffs, or higher investments outrun price and productivity actions.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Guidance is maintained but becomes less credible</w:t>
      </w:r>
      <w:r>
        <w:t xml:space="preserve"> </w:t>
      </w:r>
      <w:r>
        <w:t xml:space="preserve">because second-half assumptions grow more demanding.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NSI financing or closing uncertainty</w:t>
      </w:r>
      <w:r>
        <w:t xml:space="preserve"> </w:t>
      </w:r>
      <w:r>
        <w:t xml:space="preserve">increases concerns around leverage, interest expense, integration costs, or deal accretion.</w:t>
      </w:r>
    </w:p>
    <w:p>
      <w:pPr>
        <w:pStyle w:val="Compact"/>
        <w:numPr>
          <w:ilvl w:val="0"/>
          <w:numId w:val="1009"/>
        </w:numPr>
      </w:pPr>
      <w:r>
        <w:t xml:space="preserve">Weakness in more cyclical exposures, including heavy industrial or residential electrical markets, offsets the strength in utilities and data centers.</w:t>
      </w:r>
    </w:p>
    <w:p>
      <w:r>
        <w:pict>
          <v:rect style="width:0;height:1.5pt" o:hralign="center" o:hrstd="t" o:hr="t"/>
        </w:pict>
      </w:r>
    </w:p>
    <w:bookmarkEnd w:id="18"/>
    <w:bookmarkStart w:id="19" w:name="stock-context"/>
    <w:p>
      <w:pPr>
        <w:pStyle w:val="Heading2"/>
      </w:pPr>
      <w:r>
        <w:t xml:space="preserve">Stock context</w:t>
      </w:r>
    </w:p>
    <w:p>
      <w:pPr>
        <w:pStyle w:val="FirstParagraph"/>
      </w:pPr>
      <w:r>
        <w:t xml:space="preserve">HUBB closed at</w:t>
      </w:r>
      <w:r>
        <w:t xml:space="preserve"> </w:t>
      </w:r>
      <w:r>
        <w:rPr>
          <w:b/>
          <w:bCs/>
        </w:rPr>
        <w:t xml:space="preserve">$498.00 on July 27, 2026</w:t>
      </w:r>
      <w:r>
        <w:t xml:space="preserve">, the latest available close before the event. That is approximately: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+12% year to date</w:t>
      </w:r>
      <w:r>
        <w:t xml:space="preserve"> </w:t>
      </w:r>
      <w:r>
        <w:t xml:space="preserve">versus roughly</w:t>
      </w:r>
      <w:r>
        <w:t xml:space="preserve"> </w:t>
      </w:r>
      <w:r>
        <w:rPr>
          <w:b/>
          <w:bCs/>
        </w:rPr>
        <w:t xml:space="preserve">+18% for XLI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+8% for the S&amp;P 500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About</w:t>
      </w:r>
      <w:r>
        <w:t xml:space="preserve"> </w:t>
      </w:r>
      <w:r>
        <w:rPr>
          <w:b/>
          <w:bCs/>
        </w:rPr>
        <w:t xml:space="preserve">11% below</w:t>
      </w:r>
      <w:r>
        <w:t xml:space="preserve"> </w:t>
      </w:r>
      <w:r>
        <w:t xml:space="preserve">HUBB’s late-April closing high near</w:t>
      </w:r>
      <w:r>
        <w:t xml:space="preserve"> </w:t>
      </w:r>
      <w:r>
        <w:rPr>
          <w:b/>
          <w:bCs/>
        </w:rPr>
        <w:t xml:space="preserve">$558</w:t>
      </w:r>
      <w:r>
        <w:t xml:space="preserve">.</w:t>
      </w:r>
    </w:p>
    <w:p>
      <w:pPr>
        <w:pStyle w:val="FirstParagraph"/>
      </w:pPr>
      <w:r>
        <w:t xml:space="preserve">The stock has therefore not fully kept pace with the industrial sector this year despite strong underlying growth. That leaves room for upside if Hubbell confirms that its utility/data-center growth engine is intact and provides a straightforward NSI update. Conversely, the market is unlikely to reward a simple in-line quarter if the outlook for margins, orders, or acquisition financing becomes less clear.</w:t>
      </w:r>
    </w:p>
    <w:p>
      <w:r>
        <w:pict>
          <v:rect style="width:0;height:1.5pt" o:hralign="center" o:hrstd="t" o:hr="t"/>
        </w:pict>
      </w:r>
    </w:p>
    <w:bookmarkEnd w:id="19"/>
    <w:bookmarkStart w:id="20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Hubbell remains one of the more compelling electrical-infrastructure stories in industrials</w:t>
      </w:r>
      <w:r>
        <w:t xml:space="preserve">, supported by utility grid investment and data-center power demand. The 2Q report should be judged primarily on the durability of those two growth drivers, order visibility, margin conversion, and the clarity of the NSI transaction update.</w:t>
      </w:r>
    </w:p>
    <w:p>
      <w:pPr>
        <w:pStyle w:val="BodyText"/>
      </w:pPr>
      <w:r>
        <w:t xml:space="preserve">The most constructive outcome is continued high-single-digit organic growth, strong Grid Infrastructure and data-center commentary, stable price/cost execution, and reaffirmed or improved full-year guidance. The key risk is that elevated expectations meet a more mixed reality in grid automation, Electrical Solutions margins, or acquisition-related leverage and integration.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2026-07-28T00:41:14Z</dcterms:created>
  <dcterms:modified xsi:type="dcterms:W3CDTF">2026-07-28T00:41:14Z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