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humana-hum-q2-2026-earnings-preview"/>
    <w:p>
      <w:pPr>
        <w:pStyle w:val="Heading1"/>
      </w:pPr>
      <w:r>
        <w:t xml:space="preserve">Humana (HUM)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0f5741721b7a2d5084b2c42228fb83e176cb471"/>
    <w:p>
      <w:pPr>
        <w:pStyle w:val="Heading2"/>
      </w:pPr>
      <w:r>
        <w:t xml:space="preserve">1. Setup: A Very Different Stock Than a Few Months Ago</w:t>
      </w:r>
    </w:p>
    <w:p>
      <w:pPr>
        <w:pStyle w:val="FirstParagraph"/>
      </w:pPr>
      <w:r>
        <w:t xml:space="preserve">This is arguably the most important print of the year for HUM shareholders, if only because of how far and how fast the stock has moved. Shares bottomed near</w:t>
      </w:r>
      <w:r>
        <w:t xml:space="preserve"> </w:t>
      </w:r>
      <m:oMath>
        <m:r>
          <m:t>175</m:t>
        </m:r>
        <m:r>
          <m:rPr>
            <m:sty m:val="p"/>
          </m:rPr>
          <m:t>*</m:t>
        </m:r>
        <m:r>
          <m:rPr>
            <m:sty m:val="p"/>
          </m:rPr>
          <m:t>*</m:t>
        </m:r>
        <m:r>
          <m:t>i</m:t>
        </m:r>
        <m:r>
          <m:t>n</m:t>
        </m:r>
        <m:r>
          <m:t>m</m:t>
        </m:r>
        <m:r>
          <m:t>i</m:t>
        </m:r>
        <m:r>
          <m:t>d</m:t>
        </m:r>
        <m:r>
          <m:rPr>
            <m:sty m:val="p"/>
          </m:rPr>
          <m:t>−</m:t>
        </m:r>
        <m:r>
          <m:t>F</m:t>
        </m:r>
        <m:r>
          <m:t>e</m:t>
        </m:r>
        <m:r>
          <m:t>b</m:t>
        </m:r>
        <m:r>
          <m:t>r</m:t>
        </m:r>
        <m:r>
          <m:t>u</m:t>
        </m:r>
        <m:r>
          <m:t>a</m:t>
        </m:r>
        <m:r>
          <m:t>r</m:t>
        </m:r>
        <m:r>
          <m:t>y</m:t>
        </m:r>
        <m:r>
          <m:t>2026</m:t>
        </m:r>
        <m:r>
          <m:rPr>
            <m:sty m:val="p"/>
          </m:rPr>
          <m:t>(</m:t>
        </m:r>
        <m:r>
          <m:t>a</m:t>
        </m:r>
        <m:r>
          <m:t>f</m:t>
        </m:r>
        <m:r>
          <m:t>t</m:t>
        </m:r>
        <m:r>
          <m:t>e</m:t>
        </m:r>
        <m:r>
          <m:t>r</m:t>
        </m:r>
        <m:r>
          <m:t>t</m:t>
        </m:r>
        <m:r>
          <m:t>h</m:t>
        </m:r>
        <m:r>
          <m:t>e</m:t>
        </m:r>
        <m:r>
          <m:t>2025</m:t>
        </m:r>
        <m:r>
          <m:t>S</m:t>
        </m:r>
        <m:r>
          <m:t>t</m:t>
        </m:r>
        <m:r>
          <m:t>a</m:t>
        </m:r>
        <m:r>
          <m:t>r</m:t>
        </m:r>
        <m:r>
          <m:t>R</m:t>
        </m:r>
        <m:r>
          <m:t>a</m:t>
        </m:r>
        <m:r>
          <m:t>t</m:t>
        </m:r>
        <m:r>
          <m:t>i</m:t>
        </m:r>
        <m:r>
          <m:t>n</m:t>
        </m:r>
        <m:r>
          <m:t>g</m:t>
        </m:r>
        <m:r>
          <m:t>s</m:t>
        </m:r>
        <m:r>
          <m:t>l</m:t>
        </m:r>
        <m:r>
          <m:t>i</m:t>
        </m:r>
        <m:r>
          <m:t>t</m:t>
        </m:r>
        <m:r>
          <m:t>i</m:t>
        </m:r>
        <m:r>
          <m:t>g</m:t>
        </m:r>
        <m:r>
          <m:t>a</m:t>
        </m:r>
        <m:r>
          <m:t>t</m:t>
        </m:r>
        <m:r>
          <m:t>i</m:t>
        </m:r>
        <m:r>
          <m:t>o</m:t>
        </m:r>
        <m:r>
          <m:t>n</m:t>
        </m:r>
        <m:r>
          <m:t>l</m:t>
        </m:r>
        <m:r>
          <m:t>o</m:t>
        </m:r>
        <m:r>
          <m:t>s</m:t>
        </m:r>
        <m:r>
          <m:t>s</m:t>
        </m:r>
        <m:r>
          <m:t>a</m:t>
        </m:r>
        <m:r>
          <m:t>n</m:t>
        </m:r>
        <m:r>
          <m:t>d</m:t>
        </m:r>
        <m:r>
          <m:t>a</m:t>
        </m:r>
        <m:r>
          <m:t>g</m:t>
        </m:r>
        <m:r>
          <m:t>u</m:t>
        </m:r>
        <m:r>
          <m:t>i</m:t>
        </m:r>
        <m:r>
          <m:t>d</m:t>
        </m:r>
        <m:r>
          <m:t>a</m:t>
        </m:r>
        <m:r>
          <m:t>n</m:t>
        </m:r>
        <m:r>
          <m:t>c</m:t>
        </m:r>
        <m:r>
          <m:t>e</m:t>
        </m:r>
        <m:r>
          <m:t>r</m:t>
        </m:r>
        <m:r>
          <m:t>e</m:t>
        </m:r>
        <m:r>
          <m:t>s</m:t>
        </m:r>
        <m:r>
          <m:t>e</m:t>
        </m:r>
        <m:r>
          <m:t>t</m:t>
        </m:r>
        <m:r>
          <m:rPr>
            <m:sty m:val="p"/>
          </m:rPr>
          <m:t>)</m:t>
        </m:r>
        <m:r>
          <m:t>a</m:t>
        </m:r>
        <m:r>
          <m:t>n</m:t>
        </m:r>
        <m:r>
          <m:t>d</m:t>
        </m:r>
        <m:r>
          <m:t>h</m:t>
        </m:r>
        <m:r>
          <m:t>a</m:t>
        </m:r>
        <m:r>
          <m:t>v</m:t>
        </m:r>
        <m:r>
          <m:t>e</m:t>
        </m:r>
        <m:r>
          <m:t>s</m:t>
        </m:r>
        <m:r>
          <m:t>i</m:t>
        </m:r>
        <m:r>
          <m:t>n</m:t>
        </m:r>
        <m:r>
          <m:t>c</m:t>
        </m:r>
        <m:r>
          <m:t>e</m:t>
        </m:r>
        <m:r>
          <m:t>r</m:t>
        </m:r>
        <m:r>
          <m:t>a</m:t>
        </m:r>
        <m:r>
          <m:t>l</m:t>
        </m:r>
        <m:r>
          <m:t>l</m:t>
        </m:r>
        <m:r>
          <m:t>i</m:t>
        </m:r>
        <m:r>
          <m:t>e</m:t>
        </m:r>
        <m:r>
          <m:t>d</m:t>
        </m:r>
        <m:r>
          <m:t>t</m:t>
        </m:r>
        <m:r>
          <m:t>o</m:t>
        </m:r>
        <m:r>
          <m:t>r</m:t>
        </m:r>
        <m:r>
          <m:t>o</m:t>
        </m:r>
        <m:r>
          <m:t>u</m:t>
        </m:r>
        <m:r>
          <m:t>g</m:t>
        </m:r>
        <m:r>
          <m:t>h</m:t>
        </m:r>
        <m:r>
          <m:t>l</m:t>
        </m:r>
        <m:r>
          <m:t>y</m:t>
        </m:r>
        <m:r>
          <m:rPr>
            <m:sty m:val="p"/>
          </m:rPr>
          <m:t>*</m:t>
        </m:r>
        <m:r>
          <m:rPr>
            <m:sty m:val="p"/>
          </m:rPr>
          <m:t>*</m:t>
        </m:r>
      </m:oMath>
      <w:r>
        <w:rPr>
          <w:b/>
          <w:bCs/>
        </w:rPr>
        <w:t xml:space="preserve">389–400</w:t>
      </w:r>
      <w:r>
        <w:t xml:space="preserve">, an increase of well over 100% in five months, with the stock touching an all-time high above $409 in early July. The move accelerated through June and July on a combination of:</w:t>
      </w:r>
    </w:p>
    <w:p>
      <w:pPr>
        <w:pStyle w:val="Compact"/>
        <w:numPr>
          <w:ilvl w:val="0"/>
          <w:numId w:val="1001"/>
        </w:numPr>
      </w:pPr>
      <w:r>
        <w:rPr>
          <w:b/>
          <w:bCs/>
        </w:rPr>
        <w:t xml:space="preserve">CMS's final CY2027 Medicare Advantage rate notice</w:t>
      </w:r>
      <w:r>
        <w:t xml:space="preserve">, which came in well above the initial proposal. Humana's own management noted this was better than expected. On the advance notice, the finalized rate increase for 2027 was reported as</w:t>
      </w:r>
      <w:r>
        <w:t xml:space="preserve"> </w:t>
      </w:r>
      <w:r>
        <w:rPr>
          <w:b/>
          <w:bCs/>
        </w:rPr>
        <w:t xml:space="preserve">2.48%</w:t>
      </w:r>
      <w:r>
        <w:t xml:space="preserve">, up from an initially proposed</w:t>
      </w:r>
      <w:r>
        <w:t xml:space="preserve"> </w:t>
      </w:r>
      <w:r>
        <w:rPr>
          <w:b/>
          <w:bCs/>
        </w:rPr>
        <w:t xml:space="preserve">0.09%</w:t>
      </w:r>
      <w:r>
        <w:t xml:space="preserve">, and analysts flagged that this "relief rally" lifted both Humana and UnitedHealth shares.</w:t>
      </w:r>
    </w:p>
    <w:p>
      <w:pPr>
        <w:pStyle w:val="Compact"/>
        <w:numPr>
          <w:ilvl w:val="0"/>
          <w:numId w:val="1001"/>
        </w:numPr>
      </w:pPr>
      <w:r>
        <w:rPr>
          <w:b/>
          <w:bCs/>
        </w:rPr>
        <w:t xml:space="preserve">Broader managed-care sentiment improvement</w:t>
      </w:r>
      <w:r>
        <w:t xml:space="preserve"> </w:t>
      </w:r>
      <w:r>
        <w:t xml:space="preserve">tied to softer medical cost/utilization trends across the sector — Humana, UnitedHealth and Cigna shares all jumped in early June on this theme.</w:t>
      </w:r>
    </w:p>
    <w:p>
      <w:pPr>
        <w:pStyle w:val="Compact"/>
        <w:numPr>
          <w:ilvl w:val="0"/>
          <w:numId w:val="1001"/>
        </w:numPr>
      </w:pPr>
      <w:r>
        <w:t xml:space="preserve">A wave of</w:t>
      </w:r>
      <w:r>
        <w:t xml:space="preserve"> </w:t>
      </w:r>
      <w:r>
        <w:rPr>
          <w:b/>
          <w:bCs/>
        </w:rPr>
        <w:t xml:space="preserve">sell-side upgrades and price target hikes</w:t>
      </w:r>
      <w:r>
        <w:t xml:space="preserve"> </w:t>
      </w:r>
      <w:r>
        <w:t xml:space="preserve">heading into the print: Wells Fargo upgraded HUM to Overweight (PT $502) on July 13; Deutsche Bank upgraded to Buy from Hold, nearly doubling its target, framing 2026 as an "earnings bottom" with Star Ratings recovery as the catalyst; BofA raised its target to $410.</w:t>
      </w:r>
    </w:p>
    <w:p>
      <w:pPr>
        <w:pStyle w:val="FirstParagraph"/>
      </w:pPr>
      <w:r>
        <w:rPr>
          <w:b/>
          <w:bCs/>
        </w:rPr>
        <w:t xml:space="preserve">Why this matters for tomorrow:</w:t>
      </w:r>
      <w:r>
        <w:t xml:space="preserve"> </w:t>
      </w:r>
      <w:r>
        <w:t xml:space="preserve">expectations have risen sharply alongside the stock. A "good enough" quarter that would have driven a big rally in February may now be viewed as merely in-line, raising the bar for what constitutes a genuine beat-and-raise.</w:t>
      </w:r>
    </w:p>
    <w:bookmarkEnd w:id="9"/>
    <w:bookmarkStart w:id="10" w:name="X981deddc1a848b387888e6bcfbd423f5e538375"/>
    <w:p>
      <w:pPr>
        <w:pStyle w:val="Heading2"/>
      </w:pPr>
      <w:r>
        <w:t xml:space="preserve">2. What Wall Street Expects</w:t>
      </w:r>
    </w:p>
    <w:p>
      <w:pPr>
        <w:pStyle w:val="Compact"/>
        <w:numPr>
          <w:ilvl w:val="0"/>
          <w:numId w:val="1002"/>
        </w:numPr>
      </w:pPr>
      <w:r>
        <w:rPr>
          <w:b/>
          <w:bCs/>
        </w:rPr>
        <w:t xml:space="preserve">Q2 2026 EPS:</w:t>
      </w:r>
      <w:r>
        <w:t xml:space="preserve"> </w:t>
      </w:r>
      <w:r>
        <w:t xml:space="preserve">Consensus is roughly</w:t>
      </w:r>
      <w:r>
        <w:t xml:space="preserve"> </w:t>
      </w:r>
      <m:oMath>
        <m:r>
          <m:t>6.17</m:t>
        </m:r>
        <m:r>
          <m:rPr>
            <m:sty m:val="p"/>
          </m:rPr>
          <m:t>–</m:t>
        </m:r>
      </m:oMath>
      <w:r>
        <w:rPr>
          <w:b/>
          <w:bCs/>
        </w:rPr>
        <w:t xml:space="preserve">6.22</w:t>
      </w:r>
      <w:r>
        <w:t xml:space="preserve">, which would be modestly</w:t>
      </w:r>
      <w:r>
        <w:t xml:space="preserve"> </w:t>
      </w:r>
      <w:r>
        <w:rPr>
          <w:i/>
          <w:iCs/>
        </w:rPr>
        <w:t xml:space="preserve">down</w:t>
      </w:r>
      <w:r>
        <w:t xml:space="preserve"> </w:t>
      </w:r>
      <w:r>
        <w:t xml:space="preserve">year-over-year (about -1% to -2%) — largely a function of the Bonus Year 2026 Star Ratings headwind flowing through results.</w:t>
      </w:r>
    </w:p>
    <w:p>
      <w:pPr>
        <w:pStyle w:val="Compact"/>
        <w:numPr>
          <w:ilvl w:val="0"/>
          <w:numId w:val="1002"/>
        </w:numPr>
      </w:pPr>
      <w:r>
        <w:rPr>
          <w:b/>
          <w:bCs/>
        </w:rPr>
        <w:t xml:space="preserve">Q2 2026 Revenue:</w:t>
      </w:r>
      <w:r>
        <w:t xml:space="preserve"> </w:t>
      </w:r>
      <w:r>
        <w:t xml:space="preserve">Consensus is approximately</w:t>
      </w:r>
      <w:r>
        <w:t xml:space="preserve"> </w:t>
      </w:r>
      <m:oMath>
        <m:r>
          <m:t>40.6</m:t>
        </m:r>
        <m:r>
          <m:rPr>
            <m:sty m:val="p"/>
          </m:rPr>
          <m:t>–</m:t>
        </m:r>
      </m:oMath>
      <w:r>
        <w:rPr>
          <w:b/>
          <w:bCs/>
        </w:rPr>
        <w:t xml:space="preserve">40.65 billion</w:t>
      </w:r>
      <w:r>
        <w:t xml:space="preserve">, implying</w:t>
      </w:r>
      <w:r>
        <w:t xml:space="preserve"> </w:t>
      </w:r>
      <w:r>
        <w:rPr>
          <w:b/>
          <w:bCs/>
        </w:rPr>
        <w:t xml:space="preserve">~25%+ year-over-year growth</w:t>
      </w:r>
      <w:r>
        <w:t xml:space="preserve">, driven by outsized individual MA membership growth.</w:t>
      </w:r>
    </w:p>
    <w:p>
      <w:pPr>
        <w:pStyle w:val="Compact"/>
        <w:numPr>
          <w:ilvl w:val="0"/>
          <w:numId w:val="1002"/>
        </w:numPr>
      </w:pPr>
      <w:r>
        <w:rPr>
          <w:b/>
          <w:bCs/>
        </w:rPr>
        <w:t xml:space="preserve">Full-year 2026:</w:t>
      </w:r>
      <w:r>
        <w:t xml:space="preserve"> </w:t>
      </w:r>
      <w:r>
        <w:t xml:space="preserve">Street revenue estimates sit near</w:t>
      </w:r>
      <w:r>
        <w:t xml:space="preserve"> </w:t>
      </w:r>
      <m:oMath>
        <m:r>
          <m:t>162.6</m:t>
        </m:r>
        <m:r>
          <m:t>b</m:t>
        </m:r>
        <m:r>
          <m:t>i</m:t>
        </m:r>
        <m:r>
          <m:t>l</m:t>
        </m:r>
        <m:r>
          <m:t>l</m:t>
        </m:r>
        <m:r>
          <m:t>i</m:t>
        </m:r>
        <m:r>
          <m:t>o</m:t>
        </m:r>
        <m:r>
          <m:t>n</m:t>
        </m:r>
        <m:r>
          <m:rPr>
            <m:sty m:val="p"/>
          </m:rPr>
          <m:t>*</m:t>
        </m:r>
        <m:r>
          <m:rPr>
            <m:sty m:val="p"/>
          </m:rPr>
          <m:t>*</m:t>
        </m:r>
        <m:r>
          <m:rPr>
            <m:sty m:val="p"/>
          </m:rPr>
          <m:t>(</m:t>
        </m:r>
        <m:r>
          <m:rPr>
            <m:sty m:val="p"/>
          </m:rPr>
          <m:t>+</m:t>
        </m:r>
        <m:r>
          <m:t>25</m:t>
        </m:r>
      </m:oMath>
      <w:r>
        <w:rPr>
          <w:b/>
          <w:bCs/>
        </w:rPr>
        <w:t xml:space="preserve">9.25–$9.26</w:t>
      </w:r>
      <w:r>
        <w:t xml:space="preserve"> </w:t>
      </w:r>
      <w:r>
        <w:t xml:space="preserve">implies a</w:t>
      </w:r>
      <w:r>
        <w:t xml:space="preserve"> </w:t>
      </w:r>
      <w:r>
        <w:rPr>
          <w:b/>
          <w:bCs/>
        </w:rPr>
        <w:t xml:space="preserve">~46% year-over-year decline</w:t>
      </w:r>
      <w:r>
        <w:t xml:space="preserve"> </w:t>
      </w:r>
      <w:r>
        <w:t xml:space="preserve">versus FY2025's elevated (largely one-time-benefit-driven) EPS.</w:t>
      </w:r>
    </w:p>
    <w:p>
      <w:pPr>
        <w:pStyle w:val="Compact"/>
        <w:numPr>
          <w:ilvl w:val="0"/>
          <w:numId w:val="1002"/>
        </w:numPr>
      </w:pPr>
      <w:r>
        <w:t xml:space="preserve">HUM has beaten consensus EPS in</w:t>
      </w:r>
      <w:r>
        <w:t xml:space="preserve"> </w:t>
      </w:r>
      <w:r>
        <w:rPr>
          <w:b/>
          <w:bCs/>
        </w:rPr>
        <w:t xml:space="preserve">three of the last four quarters</w:t>
      </w:r>
      <w:r>
        <w:t xml:space="preserve">, with the Q2 estimate having been revised meaningfully higher over the past 30-60 days as analysts turned more constructive on medical cost trends.</w:t>
      </w:r>
    </w:p>
    <w:p>
      <w:pPr>
        <w:pStyle w:val="Compact"/>
        <w:numPr>
          <w:ilvl w:val="0"/>
          <w:numId w:val="1002"/>
        </w:numPr>
      </w:pPr>
      <w:r>
        <w:t xml:space="preserve">Estimate note: last quarter (Q1'26), Humana's adjusted EPS of $10.31 beat the $9.97 consensus and revenue of $39.7 billion topped the $39.5 billion estimate, with shares jumping ~5.8% that day.</w:t>
      </w:r>
    </w:p>
    <w:bookmarkEnd w:id="10"/>
    <w:bookmarkStart w:id="11" w:name="X7ccc373fd34cab7ffc44fdf355097e3d576804c"/>
    <w:p>
      <w:pPr>
        <w:pStyle w:val="Heading2"/>
      </w:pPr>
      <w:r>
        <w:t xml:space="preserve">3. Q1 2026 Recap — The Baseline Going Into Q2</w:t>
      </w:r>
    </w:p>
    <w:p>
      <w:pPr>
        <w:pStyle w:val="FirstParagraph"/>
      </w:pPr>
      <w:r>
        <w:t xml:space="preserve">Humana's Q1 was framed internally as "on track." Key figures:</w:t>
      </w:r>
    </w:p>
    <w:p>
      <w:pPr>
        <w:pStyle w:val="Compact"/>
        <w:numPr>
          <w:ilvl w:val="0"/>
          <w:numId w:val="1003"/>
        </w:numPr>
      </w:pPr>
      <w:r>
        <w:rPr>
          <w:b/>
          <w:bCs/>
        </w:rPr>
        <w:t xml:space="preserve">Adjusted EPS of $10.31</w:t>
      </w:r>
      <w:r>
        <w:t xml:space="preserve"> </w:t>
      </w:r>
      <w:r>
        <w:t xml:space="preserve">(vs. $11.58 in Q1'25), representing the high end of guidance (110–115% of full-year adjusted EPS).</w:t>
      </w:r>
    </w:p>
    <w:p>
      <w:pPr>
        <w:pStyle w:val="Compact"/>
        <w:numPr>
          <w:ilvl w:val="0"/>
          <w:numId w:val="1003"/>
        </w:numPr>
      </w:pPr>
      <w:r>
        <w:rPr>
          <w:b/>
          <w:bCs/>
        </w:rPr>
        <w:t xml:space="preserve">Insurance segment GAAP benefit ratio of 89.4%</w:t>
      </w:r>
      <w:r>
        <w:t xml:space="preserve">, slightly favorable to guidance of "just under 90%."</w:t>
      </w:r>
    </w:p>
    <w:p>
      <w:pPr>
        <w:pStyle w:val="Compact"/>
        <w:numPr>
          <w:ilvl w:val="0"/>
          <w:numId w:val="1003"/>
        </w:numPr>
      </w:pPr>
      <w:r>
        <w:rPr>
          <w:b/>
          <w:bCs/>
        </w:rPr>
        <w:t xml:space="preserve">Revenue of $39.6 billion</w:t>
      </w:r>
      <w:r>
        <w:t xml:space="preserve">, up from $32.1 billion, driven by MA membership growth and higher MA benchmark funding.</w:t>
      </w:r>
    </w:p>
    <w:p>
      <w:pPr>
        <w:pStyle w:val="Compact"/>
        <w:numPr>
          <w:ilvl w:val="0"/>
          <w:numId w:val="1003"/>
        </w:numPr>
      </w:pPr>
      <w:r>
        <w:t xml:space="preserve">Total medical membership reached</w:t>
      </w:r>
      <w:r>
        <w:t xml:space="preserve"> </w:t>
      </w:r>
      <w:r>
        <w:rPr>
          <w:b/>
          <w:bCs/>
        </w:rPr>
        <w:t xml:space="preserve">17.7 million</w:t>
      </w:r>
      <w:r>
        <w:t xml:space="preserve">, with individual MA growing to</w:t>
      </w:r>
      <w:r>
        <w:t xml:space="preserve"> </w:t>
      </w:r>
      <w:r>
        <w:rPr>
          <w:b/>
          <w:bCs/>
        </w:rPr>
        <w:t xml:space="preserve">6.39 million</w:t>
      </w:r>
      <w:r>
        <w:t xml:space="preserve"> </w:t>
      </w:r>
      <w:r>
        <w:t xml:space="preserve">(from 5.22 million a year ago) and group MA to 729,000.</w:t>
      </w:r>
    </w:p>
    <w:p>
      <w:pPr>
        <w:pStyle w:val="Compact"/>
        <w:numPr>
          <w:ilvl w:val="0"/>
          <w:numId w:val="1003"/>
        </w:numPr>
      </w:pPr>
      <w:r>
        <w:t xml:space="preserve">CenterWell operating cost ratio ran hot (94.5% vs. 91.1% a year ago) due to one-time items (skin substitutes/ACO REACH true-up, Villages Health integration timing, MaxHealth transaction costs) that management said would normalize/reverse through the year.</w:t>
      </w:r>
    </w:p>
    <w:p>
      <w:pPr>
        <w:pStyle w:val="Compact"/>
        <w:numPr>
          <w:ilvl w:val="0"/>
          <w:numId w:val="1003"/>
        </w:numPr>
      </w:pPr>
      <w:r>
        <w:rPr>
          <w:b/>
          <w:bCs/>
        </w:rPr>
        <w:t xml:space="preserve">Balance sheet actions</w:t>
      </w:r>
      <w:r>
        <w:t xml:space="preserve">: a $1B junior subordinated notes offering in March, subsidiary reinsurance and legal-entity restructuring that mitigated over $3 billion in 2026 capital contribution requirements.</w:t>
      </w:r>
    </w:p>
    <w:p>
      <w:pPr>
        <w:pStyle w:val="Compact"/>
        <w:numPr>
          <w:ilvl w:val="0"/>
          <w:numId w:val="1003"/>
        </w:numPr>
      </w:pPr>
      <w:r>
        <w:rPr>
          <w:b/>
          <w:bCs/>
        </w:rPr>
        <w:t xml:space="preserve">FY2026 guidance was affirmed</w:t>
      </w:r>
      <w:r>
        <w:t xml:space="preserve"> </w:t>
      </w:r>
      <w:r>
        <w:t xml:space="preserve">at Adjusted EPS "at least $9.00," while GAAP EPS guidance was cut to "at least $8.36" from "at least $8.89" (a technical GAAP-only adjustment tied to non-cash put/call valuation items, not a change in the operating outlook).</w:t>
      </w:r>
    </w:p>
    <w:bookmarkEnd w:id="11"/>
    <w:bookmarkStart w:id="19" w:name="Xd83fb8235bb868be1e5d37e2dcbc7203cc19188"/>
    <w:p>
      <w:pPr>
        <w:pStyle w:val="Heading2"/>
      </w:pPr>
      <w:r>
        <w:t xml:space="preserve">4. Key Things to Watch in the Q2 Print and Call</w:t>
      </w:r>
    </w:p>
    <w:bookmarkStart w:id="12" w:name="X896381b002e1deb26bff9e914b87a13ab12c00b"/>
    <w:p>
      <w:pPr>
        <w:pStyle w:val="Heading3"/>
      </w:pPr>
      <w:r>
        <w:t xml:space="preserve">a) Medical cost trend / benefit ratio trajectory</w:t>
      </w:r>
    </w:p>
    <w:p>
      <w:pPr>
        <w:pStyle w:val="FirstParagraph"/>
      </w:pPr>
      <w:r>
        <w:t xml:space="preserve">On the Q1 call, CFO Celeste Mellet guided Q2 Insurance segment MLR to run "slightly above 91%," a smaller step-up than the prior year because 2025's Q1 benefited from heavier reserve releases. Management said early indicators through April — risk scores, admits-per-thousand, pharmacy claims — were</w:t>
      </w:r>
      <w:r>
        <w:t xml:space="preserve"> </w:t>
      </w:r>
      <w:r>
        <w:rPr>
          <w:b/>
          <w:bCs/>
        </w:rPr>
        <w:t xml:space="preserve">running in line to better than guidance</w:t>
      </w:r>
      <w:r>
        <w:t xml:space="preserve">, even after adjusting for a milder flu season. Investors will want an update on whether that favorable trend held through Q2, historically viewed as the "real tell" quarter for full-year claims experience, as one analyst noted on the Q1 call.</w:t>
      </w:r>
    </w:p>
    <w:bookmarkEnd w:id="12"/>
    <w:bookmarkStart w:id="13" w:name="X7b7d216d1f77d1e263c439d29228e7278c79933"/>
    <w:p>
      <w:pPr>
        <w:pStyle w:val="Heading3"/>
      </w:pPr>
      <w:r>
        <w:t xml:space="preserve">b) Individual MA membership and reserve conservatism</w:t>
      </w:r>
    </w:p>
    <w:p>
      <w:pPr>
        <w:pStyle w:val="FirstParagraph"/>
      </w:pPr>
      <w:r>
        <w:t xml:space="preserve">IBNR grew ~35% sequentially in Q1, well ahead of membership growth, which management characterized as a</w:t>
      </w:r>
      <w:r>
        <w:t xml:space="preserve"> </w:t>
      </w:r>
      <w:r>
        <w:rPr>
          <w:b/>
          <w:bCs/>
        </w:rPr>
        <w:t xml:space="preserve">prudent/conservative reserving posture</w:t>
      </w:r>
      <w:r>
        <w:t xml:space="preserve"> </w:t>
      </w:r>
      <w:r>
        <w:t xml:space="preserve">given elevated new-member growth (individual MA membership guided to grow ~25% for FY2026). Watch for commentary on whether that cushion gets released as claims data matures, which could be an EPS tailwind, or whether it proves warranted.</w:t>
      </w:r>
    </w:p>
    <w:bookmarkEnd w:id="13"/>
    <w:bookmarkStart w:id="14" w:name="c-star-ratings--bonus-year-2028-update"/>
    <w:p>
      <w:pPr>
        <w:pStyle w:val="Heading3"/>
      </w:pPr>
      <w:r>
        <w:t xml:space="preserve">c) Star Ratings — Bonus Year 2028 update</w:t>
      </w:r>
    </w:p>
    <w:p>
      <w:pPr>
        <w:pStyle w:val="FirstParagraph"/>
      </w:pPr>
      <w:r>
        <w:t xml:space="preserve">Management said explicitly on the Q1 call that it would</w:t>
      </w:r>
      <w:r>
        <w:t xml:space="preserve"> </w:t>
      </w:r>
      <w:r>
        <w:rPr>
          <w:b/>
          <w:bCs/>
        </w:rPr>
        <w:t xml:space="preserve">"share more about our progress in the Q2 earnings call once the hybrid season is complete,"</w:t>
      </w:r>
      <w:r>
        <w:t xml:space="preserve"> </w:t>
      </w:r>
      <w:r>
        <w:t xml:space="preserve">referring to the CMS call-center "secret shopper" testing that determines a key input into 2028 Star Ratings. This is likely the single most market-moving disclosure of the call, given the entire 2028 margin-recovery narrative depends on Humana returning to top-quartile Stars (4-star+) status. Humana is also awaiting a Fifth Circuit appellate ruling on its lawsuit challenging the 2025 (Bonus Year 2026) Star Ratings methodology, having lost twice in district court; any update here would also be notable, though litigation timing is outside management's control.</w:t>
      </w:r>
    </w:p>
    <w:bookmarkEnd w:id="14"/>
    <w:bookmarkStart w:id="15" w:name="Xed8e2471b9d550fd3a9340d83240d4a7fc20f8c"/>
    <w:p>
      <w:pPr>
        <w:pStyle w:val="Heading3"/>
      </w:pPr>
      <w:r>
        <w:t xml:space="preserve">d) 2027 bid strategy and the path to a 3%+ margin by 2028</w:t>
      </w:r>
    </w:p>
    <w:p>
      <w:pPr>
        <w:pStyle w:val="FirstParagraph"/>
      </w:pPr>
      <w:r>
        <w:t xml:space="preserve">CEO Jim Rechtin has been explicit that the</w:t>
      </w:r>
      <w:r>
        <w:t xml:space="preserve"> </w:t>
      </w:r>
      <w:r>
        <w:rPr>
          <w:b/>
          <w:bCs/>
        </w:rPr>
        <w:t xml:space="preserve">funding-vs.-medical-trend gap is larger heading into the 2027 bid cycle than it was a year ago</w:t>
      </w:r>
      <w:r>
        <w:t xml:space="preserve">, meaning Humana will need to trim benefits again for 2027 even with a friendlier CMS rate notice, prioritizing margin progress first, member retention second, and growth a "distant third." Listen for how much detail management is willing to give on the shape of 2027 guidance (typically previewed in more detail at Q3/Investor Day) and whether commentary reinforces confidence in the 2028 3%+ margin target first laid out at the June 2025 Investor Day.</w:t>
      </w:r>
    </w:p>
    <w:bookmarkEnd w:id="15"/>
    <w:bookmarkStart w:id="16" w:name="e-centerwell-segment-normalization"/>
    <w:p>
      <w:pPr>
        <w:pStyle w:val="Heading3"/>
      </w:pPr>
      <w:r>
        <w:t xml:space="preserve">e) CenterWell segment normalization</w:t>
      </w:r>
    </w:p>
    <w:p>
      <w:pPr>
        <w:pStyle w:val="FirstParagraph"/>
      </w:pPr>
      <w:r>
        <w:t xml:space="preserve">Watch whether the one-time cost drags flagged in Q1 (ACO REACH/skin substitutes true-up, Villages Health integration, MaxHealth deal costs) reversed as promised, and for further detail on MaxHealth (Florida primary care) integration, which added ~59,000 patients and 54 centers. CenterWell primary care patient count grew 22.5% sequentially in Q1.</w:t>
      </w:r>
    </w:p>
    <w:bookmarkEnd w:id="16"/>
    <w:bookmarkStart w:id="17" w:name="X30991f8a9454205cf07cbd47b934de75730fa2c"/>
    <w:p>
      <w:pPr>
        <w:pStyle w:val="Heading3"/>
      </w:pPr>
      <w:r>
        <w:t xml:space="preserve">f) Capital allocation / Welsh Carson put-call and buybacks</w:t>
      </w:r>
    </w:p>
    <w:p>
      <w:pPr>
        <w:pStyle w:val="FirstParagraph"/>
      </w:pPr>
      <w:r>
        <w:t xml:space="preserve">Humana said it needed to decide by mid-2026 whether to exercise call options on early primary-care clinic cohorts from its Welsh, Carson, Anderson &amp; Stowe joint venture; a full Welsh Carson put exercise was estimated at</w:t>
      </w:r>
      <w:r>
        <w:t xml:space="preserve"> </w:t>
      </w:r>
      <m:oMath>
        <m:r>
          <m:t>1.0</m:t>
        </m:r>
        <m:r>
          <m:rPr>
            <m:sty m:val="p"/>
          </m:rPr>
          <m:t>–</m:t>
        </m:r>
      </m:oMath>
      <w:r>
        <w:rPr>
          <w:b/>
          <w:bCs/>
        </w:rPr>
        <w:t xml:space="preserve">1.5 billion of cash obligation in 2027</w:t>
      </w:r>
      <w:r>
        <w:t xml:space="preserve">. Also watch capital return commentary — Humana has kept buybacks limited to offsetting dilution and held the dividend flat, with management signaling both could increase as cash flow and funding capacity improve under the 2028 plan.</w:t>
      </w:r>
    </w:p>
    <w:bookmarkEnd w:id="17"/>
    <w:bookmarkStart w:id="18" w:name="g-peer-read-through"/>
    <w:p>
      <w:pPr>
        <w:pStyle w:val="Heading3"/>
      </w:pPr>
      <w:r>
        <w:t xml:space="preserve">g) Peer read-through</w:t>
      </w:r>
    </w:p>
    <w:p>
      <w:pPr>
        <w:pStyle w:val="FirstParagraph"/>
      </w:pPr>
      <w:r>
        <w:t xml:space="preserve">UnitedHealth's Q2 2026 results (reported ahead of Humana) showed</w:t>
      </w:r>
      <w:r>
        <w:t xml:space="preserve"> </w:t>
      </w:r>
      <w:r>
        <w:rPr>
          <w:b/>
          <w:bCs/>
        </w:rPr>
        <w:t xml:space="preserve">sharply higher earnings and a raised full-year outlook</w:t>
      </w:r>
      <w:r>
        <w:t xml:space="preserve">, citing improved Medicare Advantage and Optum Health performance, though it flagged that commercial medical cost trends remain elevated — a broadly reassuring signal for the sector's MA cost trajectory heading into Humana's print. Other large payers reported a "mixed" quarter overall, with elevated MA and ACA exchange costs pressuring several peers even as UnitedHealth outperformed.</w:t>
      </w:r>
    </w:p>
    <w:bookmarkEnd w:id="18"/>
    <w:bookmarkEnd w:id="19"/>
    <w:bookmarkStart w:id="20" w:name="X23222d4e2ac9c93e67f78ab981c9ee04bce9be0"/>
    <w:p>
      <w:pPr>
        <w:pStyle w:val="Heading2"/>
      </w:pPr>
      <w:r>
        <w:t xml:space="preserve">5. Full-Year 2026 Guidance Checklist (as of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FY2026 Guidance</w:t>
            </w:r>
          </w:p>
        </w:tc>
      </w:tr>
      <w:tr>
        <w:tc>
          <w:tcPr/>
          <w:p>
            <w:pPr>
              <w:pStyle w:val="Compact"/>
            </w:pPr>
            <w:r>
              <w:t xml:space="preserve">Adjusted EPS</w:t>
            </w:r>
          </w:p>
        </w:tc>
        <w:tc>
          <w:tcPr/>
          <w:p>
            <w:pPr>
              <w:pStyle w:val="Compact"/>
            </w:pPr>
            <w:r>
              <w:t xml:space="preserve">at least $9.00</w:t>
            </w:r>
          </w:p>
        </w:tc>
      </w:tr>
      <w:tr>
        <w:tc>
          <w:tcPr/>
          <w:p>
            <w:pPr>
              <w:pStyle w:val="Compact"/>
            </w:pPr>
            <w:r>
              <w:t xml:space="preserve">GAAP EPS</w:t>
            </w:r>
          </w:p>
        </w:tc>
        <w:tc>
          <w:tcPr/>
          <w:p>
            <w:pPr>
              <w:pStyle w:val="Compact"/>
            </w:pPr>
            <w:r>
              <w:t xml:space="preserve">at least $8.36</w:t>
            </w:r>
          </w:p>
        </w:tc>
      </w:tr>
      <w:tr>
        <w:tc>
          <w:tcPr/>
          <w:p>
            <w:pPr>
              <w:pStyle w:val="Compact"/>
            </w:pPr>
            <w:r>
              <w:t xml:space="preserve">Total revenue</w:t>
            </w:r>
          </w:p>
        </w:tc>
        <w:tc>
          <w:tcPr/>
          <w:p>
            <w:pPr>
              <w:pStyle w:val="Compact"/>
            </w:pPr>
            <w:r>
              <w:t xml:space="preserve">at least $160 billion</w:t>
            </w:r>
          </w:p>
        </w:tc>
      </w:tr>
      <w:tr>
        <w:tc>
          <w:tcPr/>
          <w:p>
            <w:pPr>
              <w:pStyle w:val="Compact"/>
            </w:pPr>
            <w:r>
              <w:t xml:space="preserve">Insurance segment benefit ratio</w:t>
            </w:r>
          </w:p>
        </w:tc>
        <w:tc>
          <w:tcPr/>
          <w:p>
            <w:pPr>
              <w:pStyle w:val="Compact"/>
            </w:pPr>
            <w:r>
              <w:t xml:space="preserve">92.75% ± 25 bps</w:t>
            </w:r>
          </w:p>
        </w:tc>
      </w:tr>
      <w:tr>
        <w:tc>
          <w:tcPr/>
          <w:p>
            <w:pPr>
              <w:pStyle w:val="Compact"/>
            </w:pPr>
            <w:r>
              <w:t xml:space="preserve">Consolidated operating cost ratio</w:t>
            </w:r>
          </w:p>
        </w:tc>
        <w:tc>
          <w:tcPr/>
          <w:p>
            <w:pPr>
              <w:pStyle w:val="Compact"/>
            </w:pPr>
            <w:r>
              <w:t xml:space="preserve">10.0% ± 25 bps</w:t>
            </w:r>
          </w:p>
        </w:tc>
      </w:tr>
      <w:tr>
        <w:tc>
          <w:tcPr/>
          <w:p>
            <w:pPr>
              <w:pStyle w:val="Compact"/>
            </w:pPr>
            <w:r>
              <w:t xml:space="preserve">Individual MA membership growth</w:t>
            </w:r>
          </w:p>
        </w:tc>
        <w:tc>
          <w:tcPr/>
          <w:p>
            <w:pPr>
              <w:pStyle w:val="Compact"/>
            </w:pPr>
            <w:r>
              <w:t xml:space="preserve">~25%</w:t>
            </w:r>
          </w:p>
        </w:tc>
      </w:tr>
      <w:tr>
        <w:tc>
          <w:tcPr/>
          <w:p>
            <w:pPr>
              <w:pStyle w:val="Compact"/>
            </w:pPr>
            <w:r>
              <w:t xml:space="preserve">Group MA membership growth</w:t>
            </w:r>
          </w:p>
        </w:tc>
        <w:tc>
          <w:tcPr/>
          <w:p>
            <w:pPr>
              <w:pStyle w:val="Compact"/>
            </w:pPr>
            <w:r>
              <w:t xml:space="preserve">~150,000</w:t>
            </w:r>
          </w:p>
        </w:tc>
      </w:tr>
      <w:tr>
        <w:tc>
          <w:tcPr/>
          <w:p>
            <w:pPr>
              <w:pStyle w:val="Compact"/>
            </w:pPr>
            <w:r>
              <w:t xml:space="preserve">Individual stand-alone PDP growth</w:t>
            </w:r>
          </w:p>
        </w:tc>
        <w:tc>
          <w:tcPr/>
          <w:p>
            <w:pPr>
              <w:pStyle w:val="Compact"/>
            </w:pPr>
            <w:r>
              <w:t xml:space="preserve">~1,000,000</w:t>
            </w:r>
          </w:p>
        </w:tc>
      </w:tr>
      <w:tr>
        <w:tc>
          <w:tcPr/>
          <w:p>
            <w:pPr>
              <w:pStyle w:val="Compact"/>
            </w:pPr>
            <w:r>
              <w:t xml:space="preserve">State-based (Medicaid) contracts growth</w:t>
            </w:r>
          </w:p>
        </w:tc>
        <w:tc>
          <w:tcPr/>
          <w:p>
            <w:pPr>
              <w:pStyle w:val="Compact"/>
            </w:pPr>
            <w:r>
              <w:t xml:space="preserve">25,000–100,000</w:t>
            </w:r>
          </w:p>
        </w:tc>
      </w:tr>
      <w:tr>
        <w:tc>
          <w:tcPr/>
          <w:p>
            <w:pPr>
              <w:pStyle w:val="Compact"/>
            </w:pPr>
            <w:r>
              <w:t xml:space="preserve">Insurance segment income from operations</w:t>
            </w:r>
          </w:p>
        </w:tc>
        <w:tc>
          <w:tcPr/>
          <w:p>
            <w:pPr>
              <w:pStyle w:val="Compact"/>
            </w:pPr>
            <w:r>
              <w:t xml:space="preserve">~breakeven (GAAP)</w:t>
            </w:r>
          </w:p>
        </w:tc>
      </w:tr>
      <w:tr>
        <w:tc>
          <w:tcPr/>
          <w:p>
            <w:pPr>
              <w:pStyle w:val="Compact"/>
            </w:pPr>
            <w:r>
              <w:t xml:space="preserve">CenterWell segment income from operations</w:t>
            </w:r>
          </w:p>
        </w:tc>
        <w:tc>
          <w:tcPr/>
          <w:p>
            <w:pPr>
              <w:pStyle w:val="Compact"/>
            </w:pPr>
            <m:oMath>
              <m:r>
                <m:t>1.3</m:t>
              </m:r>
              <m:r>
                <m:t>B</m:t>
              </m:r>
              <m:r>
                <m:rPr>
                  <m:sty m:val="p"/>
                </m:rPr>
                <m:t>–</m:t>
              </m:r>
            </m:oMath>
            <w:r>
              <w:t xml:space="preserve">1.8B (GAAP) /</w:t>
            </w:r>
            <w:r>
              <w:t xml:space="preserve"> </w:t>
            </w:r>
            <m:oMath>
              <m:r>
                <m:t>1.5</m:t>
              </m:r>
              <m:r>
                <m:t>B</m:t>
              </m:r>
              <m:r>
                <m:rPr>
                  <m:sty m:val="p"/>
                </m:rPr>
                <m:t>–</m:t>
              </m:r>
            </m:oMath>
            <w:r>
              <w:t xml:space="preserve">2.0B (adjusted)</w:t>
            </w:r>
          </w:p>
        </w:tc>
      </w:tr>
      <w:tr>
        <w:tc>
          <w:tcPr/>
          <w:p>
            <w:pPr>
              <w:pStyle w:val="Compact"/>
            </w:pPr>
            <w:r>
              <w:t xml:space="preserve">Operating cash flow</w:t>
            </w:r>
          </w:p>
        </w:tc>
        <w:tc>
          <w:tcPr/>
          <w:p>
            <w:pPr>
              <w:pStyle w:val="Compact"/>
            </w:pPr>
            <m:oMath>
              <m:r>
                <m:t>2.5</m:t>
              </m:r>
              <m:r>
                <m:t>B</m:t>
              </m:r>
              <m:r>
                <m:rPr>
                  <m:sty m:val="p"/>
                </m:rPr>
                <m:t>–</m:t>
              </m:r>
            </m:oMath>
            <w:r>
              <w:t xml:space="preserve">2.9B</w:t>
            </w:r>
          </w:p>
        </w:tc>
      </w:tr>
    </w:tbl>
    <w:p>
      <w:pPr>
        <w:pStyle w:val="BodyText"/>
      </w:pPr>
      <w:r>
        <w:t xml:space="preserve">Any change to these figures — up or down — will likely be the biggest swing factor for the stock reaction, given how much good news (rate notice, cost trend optimism, Stars hope) is already embedded in the current share price.</w:t>
      </w:r>
    </w:p>
    <w:bookmarkEnd w:id="20"/>
    <w:bookmarkStart w:id="22" w:name="X9b8925692bb36a9252a296826b0d33fabc1b811"/>
    <w:p>
      <w:pPr>
        <w:pStyle w:val="Heading2"/>
      </w:pPr>
      <w:r>
        <w:t xml:space="preserve">6. Key Risks Into the Print</w:t>
      </w:r>
    </w:p>
    <w:p>
      <w:pPr>
        <w:pStyle w:val="Compact"/>
        <w:numPr>
          <w:ilvl w:val="0"/>
          <w:numId w:val="1004"/>
        </w:numPr>
      </w:pPr>
      <w:r>
        <w:rPr>
          <w:b/>
          <w:bCs/>
        </w:rPr>
        <w:t xml:space="preserve">Valuation/expectations risk</w:t>
      </w:r>
      <w:r>
        <w:t xml:space="preserve">: with the stock up ~120%+ from its February low and near all-time highs, even a solid quarter that merely confirms guidance could disappoint if it doesn't also deliver incremental Stars or 2027 bid clarity.</w:t>
      </w:r>
    </w:p>
    <w:p>
      <w:pPr>
        <w:pStyle w:val="Compact"/>
        <w:numPr>
          <w:ilvl w:val="0"/>
          <w:numId w:val="1004"/>
        </w:numPr>
      </w:pPr>
      <w:r>
        <w:rPr>
          <w:b/>
          <w:bCs/>
        </w:rPr>
        <w:t xml:space="preserve">Star Ratings litigation and BY2028 uncertainty</w:t>
      </w:r>
      <w:r>
        <w:t xml:space="preserve">: management itself has cautioned it "cannot guarantee an outcome in October," so any hint of slippage in the Stars recovery trajectory would hit the core investment thesis.</w:t>
      </w:r>
    </w:p>
    <w:p>
      <w:pPr>
        <w:pStyle w:val="Compact"/>
        <w:numPr>
          <w:ilvl w:val="0"/>
          <w:numId w:val="1004"/>
        </w:numPr>
      </w:pPr>
      <w:r>
        <w:rPr>
          <w:b/>
          <w:bCs/>
        </w:rPr>
        <w:t xml:space="preserve">Reserve/claims volatility</w:t>
      </w:r>
      <w:r>
        <w:t xml:space="preserve">: elevated IBNR growth and continued heavy new-member mix (which runs at a higher benefit ratio than retained members) leave room for negative surprises if Q2 claims completion runs worse than the "in line to better" trend seen through Q1/April.</w:t>
      </w:r>
    </w:p>
    <w:p>
      <w:pPr>
        <w:pStyle w:val="Compact"/>
        <w:numPr>
          <w:ilvl w:val="0"/>
          <w:numId w:val="1004"/>
        </w:numPr>
      </w:pPr>
      <w:r>
        <w:rPr>
          <w:b/>
          <w:bCs/>
        </w:rPr>
        <w:t xml:space="preserve">2027 bid/benefit-cutting optics</w:t>
      </w:r>
      <w:r>
        <w:t xml:space="preserve">: continued benefit reductions, while margin-accretive, carry retention/growth risk that could resurface in commentary about 2027 membership trends.</w:t>
      </w:r>
    </w:p>
    <w:p>
      <w:pPr>
        <w:pStyle w:val="Compact"/>
        <w:numPr>
          <w:ilvl w:val="0"/>
          <w:numId w:val="1004"/>
        </w:numPr>
      </w:pPr>
      <w:r>
        <w:rPr>
          <w:b/>
          <w:bCs/>
        </w:rPr>
        <w:t xml:space="preserve">CenterWell/M&amp;A integration</w:t>
      </w:r>
      <w:r>
        <w:t xml:space="preserve">: MaxHealth, Villages Health and other primary-care integration costs need to normalize as promised for full-year CenterWell targets to be met.</w:t>
      </w:r>
    </w:p>
    <w:p>
      <w:r>
        <w:pict>
          <v:rect style="width:0;height:1.5pt" o:hralign="center" o:hrstd="t" o:hr="t"/>
        </w:pict>
      </w:r>
    </w:p>
    <w:bookmarkStart w:id="21" w:name="bottom-line"/>
    <w:p>
      <w:pPr>
        <w:pStyle w:val="Heading3"/>
      </w:pPr>
      <w:r>
        <w:t xml:space="preserve">Bottom Line</w:t>
      </w:r>
    </w:p>
    <w:p>
      <w:pPr>
        <w:pStyle w:val="FirstParagraph"/>
      </w:pPr>
      <w:r>
        <w:t xml:space="preserve">Humana goes into this print with unusually high expectations after one of the largest rallies in the healthcare sector this year, fueled by a favorable 2027 CMS rate notice, easing sector-wide medical cost trend fears, and hope for a Star Ratings recovery. The Q1 setup (in-line-to-better claims trends, affirmed guidance, membership growth on track) was reassuring, but the Q2 print is the quarter management itself has flagged as the real test of underlying MA cost trends, and the call is expected to bring the first substantive update on Bonus Year 2028 Star Ratings progress — the single biggest lever behind the multi-year margin-recovery thesis that underpins the stock's re-rating.</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2026-07-29T00:09:31Z</dcterms:created>
  <dcterms:modified xsi:type="dcterms:W3CDTF">2026-07-29T00:09:31Z</dcterms:modified>
</cp:coreProperties>
</file>

<file path=docProps/custom.xml><?xml version="1.0" encoding="utf-8"?>
<Properties xmlns="http://schemas.openxmlformats.org/officeDocument/2006/custom-properties" xmlns:vt="http://schemas.openxmlformats.org/officeDocument/2006/docPropsVTypes"/>
</file>