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humana-q2-2026-earnings-preview"/>
    <w:p>
      <w:pPr>
        <w:pStyle w:val="Heading1"/>
      </w:pPr>
      <w:r>
        <w:t xml:space="preserve">Humana Q2 2026 Earnings Preview</w:t>
      </w:r>
    </w:p>
    <w:p>
      <w:pPr>
        <w:pStyle w:val="FirstParagraph"/>
      </w:pPr>
      <w:r>
        <w:rPr>
          <w:b/>
          <w:bCs/>
        </w:rPr>
        <w:t xml:space="preserve">Ticker:</w:t>
      </w:r>
      <w:r>
        <w:t xml:space="preserve"> </w:t>
      </w:r>
      <w:r>
        <w:t xml:space="preserve">HUM</w:t>
      </w:r>
      <w:r>
        <w:br/>
      </w:r>
      <w:r>
        <w:rPr>
          <w:b/>
          <w:bCs/>
        </w:rPr>
        <w:t xml:space="preserve">Report date:</w:t>
      </w:r>
      <w:r>
        <w:t xml:space="preserve"> </w:t>
      </w:r>
      <w:r>
        <w:t xml:space="preserve">July 29, 2026</w:t>
      </w:r>
      <w:r>
        <w:br/>
      </w:r>
      <w:r>
        <w:rPr>
          <w:b/>
          <w:bCs/>
        </w:rPr>
        <w:t xml:space="preserve">Release / call:</w:t>
      </w:r>
      <w:r>
        <w:t xml:space="preserve"> </w:t>
      </w:r>
      <w:r>
        <w:t xml:space="preserve">6:00 a.m. / 8:00 a.m. ET (</w:t>
      </w:r>
      <w:hyperlink r:id="rId9">
        <w:r>
          <w:rPr>
            <w:rStyle w:val="Hyperlink"/>
          </w:rPr>
          <w:t xml:space="preserve">humana.gcs-web.com</w:t>
        </w:r>
      </w:hyperlink>
      <w:r>
        <w:t xml:space="preserve">)</w:t>
      </w:r>
    </w:p>
    <w:bookmarkStart w:id="11" w:name="bottom-line"/>
    <w:p>
      <w:pPr>
        <w:pStyle w:val="Heading2"/>
      </w:pPr>
      <w:r>
        <w:t xml:space="preserve">Bottom line</w:t>
      </w:r>
    </w:p>
    <w:p>
      <w:pPr>
        <w:pStyle w:val="FirstParagraph"/>
      </w:pPr>
      <w:r>
        <w:t xml:space="preserve">Humana’s second-quarter report is primarily a</w:t>
      </w:r>
      <w:r>
        <w:t xml:space="preserve"> </w:t>
      </w:r>
      <w:r>
        <w:rPr>
          <w:b/>
          <w:bCs/>
        </w:rPr>
        <w:t xml:space="preserve">medical-cost and forward-margin test</w:t>
      </w:r>
      <w:r>
        <w:t xml:space="preserve">, not an EPS event.</w:t>
      </w:r>
    </w:p>
    <w:p>
      <w:pPr>
        <w:pStyle w:val="BodyText"/>
      </w:pPr>
      <w:r>
        <w:t xml:space="preserve">The stock has rallied sharply as investors have become more confident that Medicare Advantage utilization is stabilizing and that Humana can rebuild margins after its 2026 Star Ratings setback. Recent results from UnitedHealth, Elevance and Centene have generally reinforced the improving medical-cost narrative. The burden on Humana is now to demonstrate that:</w:t>
      </w:r>
    </w:p>
    <w:p>
      <w:pPr>
        <w:pStyle w:val="Compact"/>
        <w:numPr>
          <w:ilvl w:val="0"/>
          <w:numId w:val="1001"/>
        </w:numPr>
      </w:pPr>
      <w:r>
        <w:t xml:space="preserve">Its unusually large 2026 Medicare Advantage member cohort is performing as priced.</w:t>
      </w:r>
    </w:p>
    <w:p>
      <w:pPr>
        <w:pStyle w:val="Compact"/>
        <w:numPr>
          <w:ilvl w:val="0"/>
          <w:numId w:val="1001"/>
        </w:numPr>
      </w:pPr>
      <w:r>
        <w:t xml:space="preserve">The Q1 medical-cost indicators held as claims matured through Q2.</w:t>
      </w:r>
    </w:p>
    <w:p>
      <w:pPr>
        <w:pStyle w:val="Compact"/>
        <w:numPr>
          <w:ilvl w:val="0"/>
          <w:numId w:val="1001"/>
        </w:numPr>
      </w:pPr>
      <w:r>
        <w:t xml:space="preserve">Its 2027 bids create a credible bridge toward higher margins without causing excessive member attrition.</w:t>
      </w:r>
    </w:p>
    <w:p>
      <w:pPr>
        <w:pStyle w:val="Compact"/>
        <w:numPr>
          <w:ilvl w:val="0"/>
          <w:numId w:val="1001"/>
        </w:numPr>
      </w:pPr>
      <w:r>
        <w:t xml:space="preserve">Star Ratings initiatives remain on track to restore quality-bonus revenue in 2028.</w:t>
      </w:r>
    </w:p>
    <w:p>
      <w:pPr>
        <w:pStyle w:val="Compact"/>
        <w:numPr>
          <w:ilvl w:val="0"/>
          <w:numId w:val="1001"/>
        </w:numPr>
      </w:pPr>
      <w:r>
        <w:t xml:space="preserve">CenterWell’s Q1 margin weakness was largely timing- and integration-related.</w:t>
      </w:r>
    </w:p>
    <w:p>
      <w:pPr>
        <w:pStyle w:val="FirstParagraph"/>
      </w:pPr>
      <w:r>
        <w:t xml:space="preserve">A modest headline beat with unchanged guidance may not be enough by itself. At roughly</w:t>
      </w:r>
      <w:r>
        <w:t xml:space="preserve"> </w:t>
      </w:r>
      <w:r>
        <w:rPr>
          <w:b/>
          <w:bCs/>
        </w:rPr>
        <w:t xml:space="preserve">$389</w:t>
      </w:r>
      <w:r>
        <w:t xml:space="preserve">, HUM trades only about 9% below its 52-week high, and was already above the $344 median analyst target shown on Humana’s investor-relations site as of July 20. (</w:t>
      </w:r>
      <w:hyperlink r:id="rId10">
        <w:r>
          <w:rPr>
            <w:rStyle w:val="Hyperlink"/>
          </w:rPr>
          <w:t xml:space="preserve">investing.com</w:t>
        </w:r>
      </w:hyperlink>
      <w:r>
        <w:t xml:space="preserve">)</w:t>
      </w:r>
    </w:p>
    <w:p>
      <w:r>
        <w:pict>
          <v:rect style="width:0;height:1.5pt" o:hralign="center" o:hrstd="t" o:hr="t"/>
        </w:pict>
      </w:r>
    </w:p>
    <w:bookmarkEnd w:id="11"/>
    <w:bookmarkStart w:id="14" w:name="expectations-and-guideposts"/>
    <w:p>
      <w:pPr>
        <w:pStyle w:val="Heading2"/>
      </w:pPr>
      <w:r>
        <w:t xml:space="preserve">Expectations and guideposts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expectation / prior guidance</w:t>
            </w:r>
          </w:p>
        </w:tc>
      </w:tr>
      <w:tr>
        <w:tc>
          <w:tcPr/>
          <w:p>
            <w:pPr>
              <w:pStyle w:val="Compact"/>
            </w:pPr>
            <w:r>
              <w:t xml:space="preserve">Adjusted EPS consensus</w:t>
            </w:r>
          </w:p>
        </w:tc>
        <w:tc>
          <w:tcPr/>
          <w:p>
            <w:pPr>
              <w:pStyle w:val="Compact"/>
              <w:jc w:val="right"/>
            </w:pPr>
            <w:r>
              <w:rPr>
                <w:b/>
                <w:bCs/>
              </w:rPr>
              <w:t xml:space="preserve">$7.22 mean; $7.42 median</w:t>
            </w:r>
          </w:p>
        </w:tc>
      </w:tr>
      <w:tr>
        <w:tc>
          <w:tcPr/>
          <w:p>
            <w:pPr>
              <w:pStyle w:val="Compact"/>
            </w:pPr>
            <w:r>
              <w:t xml:space="preserve">GAAP EPS consensus</w:t>
            </w:r>
          </w:p>
        </w:tc>
        <w:tc>
          <w:tcPr/>
          <w:p>
            <w:pPr>
              <w:pStyle w:val="Compact"/>
              <w:jc w:val="right"/>
            </w:pPr>
            <w:r>
              <w:rPr>
                <w:b/>
                <w:bCs/>
              </w:rPr>
              <w:t xml:space="preserve">$7.19 mean</w:t>
            </w:r>
          </w:p>
        </w:tc>
      </w:tr>
      <w:tr>
        <w:tc>
          <w:tcPr/>
          <w:p>
            <w:pPr>
              <w:pStyle w:val="Compact"/>
            </w:pPr>
            <w:r>
              <w:t xml:space="preserve">Revenue consensus</w:t>
            </w:r>
          </w:p>
        </w:tc>
        <w:tc>
          <w:tcPr/>
          <w:p>
            <w:pPr>
              <w:pStyle w:val="Compact"/>
              <w:jc w:val="right"/>
            </w:pPr>
            <w:r>
              <w:rPr>
                <w:b/>
                <w:bCs/>
              </w:rPr>
              <w:t xml:space="preserve">$40.61 billion</w:t>
            </w:r>
          </w:p>
        </w:tc>
      </w:tr>
      <w:tr>
        <w:tc>
          <w:tcPr/>
          <w:p>
            <w:pPr>
              <w:pStyle w:val="Compact"/>
            </w:pPr>
            <w:r>
              <w:t xml:space="preserve">Insurance benefit ratio</w:t>
            </w:r>
          </w:p>
        </w:tc>
        <w:tc>
          <w:tcPr/>
          <w:p>
            <w:pPr>
              <w:pStyle w:val="Compact"/>
              <w:jc w:val="right"/>
            </w:pPr>
            <w:r>
              <w:t xml:space="preserve">Company guided to</w:t>
            </w:r>
            <w:r>
              <w:t xml:space="preserve"> </w:t>
            </w:r>
            <w:r>
              <w:rPr>
                <w:b/>
                <w:bCs/>
              </w:rPr>
              <w:t xml:space="preserve">slightly above 91%</w:t>
            </w:r>
          </w:p>
        </w:tc>
      </w:tr>
      <w:tr>
        <w:tc>
          <w:tcPr/>
          <w:p>
            <w:pPr>
              <w:pStyle w:val="Compact"/>
            </w:pPr>
            <w:r>
              <w:t xml:space="preserve">FY26 adjusted EPS guidance</w:t>
            </w:r>
          </w:p>
        </w:tc>
        <w:tc>
          <w:tcPr/>
          <w:p>
            <w:pPr>
              <w:pStyle w:val="Compact"/>
              <w:jc w:val="right"/>
            </w:pPr>
            <w:r>
              <w:rPr>
                <w:b/>
                <w:bCs/>
              </w:rPr>
              <w:t xml:space="preserve">At least $9.00</w:t>
            </w:r>
          </w:p>
        </w:tc>
      </w:tr>
      <w:tr>
        <w:tc>
          <w:tcPr/>
          <w:p>
            <w:pPr>
              <w:pStyle w:val="Compact"/>
            </w:pPr>
            <w:r>
              <w:t xml:space="preserve">FY26 adjusted EPS consensus</w:t>
            </w:r>
          </w:p>
        </w:tc>
        <w:tc>
          <w:tcPr/>
          <w:p>
            <w:pPr>
              <w:pStyle w:val="Compact"/>
              <w:jc w:val="right"/>
            </w:pPr>
            <w:r>
              <w:rPr>
                <w:b/>
                <w:bCs/>
              </w:rPr>
              <w:t xml:space="preserve">$8.94 mean; $9.05 median</w:t>
            </w:r>
          </w:p>
        </w:tc>
      </w:tr>
      <w:tr>
        <w:tc>
          <w:tcPr/>
          <w:p>
            <w:pPr>
              <w:pStyle w:val="Compact"/>
            </w:pPr>
            <w:r>
              <w:t xml:space="preserve">FY26 Insurance benefit ratio</w:t>
            </w:r>
          </w:p>
        </w:tc>
        <w:tc>
          <w:tcPr/>
          <w:p>
            <w:pPr>
              <w:pStyle w:val="Compact"/>
              <w:jc w:val="right"/>
            </w:pPr>
            <w:r>
              <w:rPr>
                <w:b/>
                <w:bCs/>
              </w:rPr>
              <w:t xml:space="preserve">92.75% ±25 bps</w:t>
            </w:r>
          </w:p>
        </w:tc>
      </w:tr>
      <w:tr>
        <w:tc>
          <w:tcPr/>
          <w:p>
            <w:pPr>
              <w:pStyle w:val="Compact"/>
            </w:pPr>
            <w:r>
              <w:t xml:space="preserve">FY26 revenue guidance</w:t>
            </w:r>
          </w:p>
        </w:tc>
        <w:tc>
          <w:tcPr/>
          <w:p>
            <w:pPr>
              <w:pStyle w:val="Compact"/>
              <w:jc w:val="right"/>
            </w:pPr>
            <w:r>
              <w:rPr>
                <w:b/>
                <w:bCs/>
              </w:rPr>
              <w:t xml:space="preserve">At least $160 billion</w:t>
            </w:r>
          </w:p>
        </w:tc>
      </w:tr>
      <w:tr>
        <w:tc>
          <w:tcPr/>
          <w:p>
            <w:pPr>
              <w:pStyle w:val="Compact"/>
            </w:pPr>
            <w:r>
              <w:t xml:space="preserve">FY26 individual MA growth</w:t>
            </w:r>
          </w:p>
        </w:tc>
        <w:tc>
          <w:tcPr/>
          <w:p>
            <w:pPr>
              <w:pStyle w:val="Compact"/>
              <w:jc w:val="right"/>
            </w:pPr>
            <w:r>
              <w:rPr>
                <w:b/>
                <w:bCs/>
              </w:rPr>
              <w:t xml:space="preserve">Approximately 25%</w:t>
            </w:r>
          </w:p>
        </w:tc>
      </w:tr>
    </w:tbl>
    <w:p>
      <w:pPr>
        <w:pStyle w:val="BodyText"/>
      </w:pPr>
      <w:r>
        <w:t xml:space="preserve">Consensus figures are from Humana’s investor-relations estimate page. (</w:t>
      </w:r>
      <w:hyperlink r:id="rId12">
        <w:r>
          <w:rPr>
            <w:rStyle w:val="Hyperlink"/>
          </w:rPr>
          <w:t xml:space="preserve">humana.gcs-web.com</w:t>
        </w:r>
      </w:hyperlink>
      <w:r>
        <w:t xml:space="preserve">)</w:t>
      </w:r>
    </w:p>
    <w:p>
      <w:pPr>
        <w:pStyle w:val="BodyText"/>
      </w:pPr>
      <w:r>
        <w:t xml:space="preserve">The unusual earnings seasonality is worth emphasizing: consensus calls for positive Q2 earnings, roughly breakeven Q3 earnings and a large adjusted loss in Q4. Consequently, the fact that Q1 adjusted EPS of $10.31 already exceeded Humana’s full-year floor is not an error—it reflects the severe second-half seasonality created by benefit timing, the 2026 Stars headwind and the structure of Humana’s guidance. (</w:t>
      </w:r>
      <w:hyperlink r:id="rId13">
        <w:r>
          <w:rPr>
            <w:rStyle w:val="Hyperlink"/>
          </w:rPr>
          <w:t xml:space="preserve">policy.humana.com</w:t>
        </w:r>
      </w:hyperlink>
      <w:r>
        <w:t xml:space="preserve">)</w:t>
      </w:r>
    </w:p>
    <w:p>
      <w:r>
        <w:pict>
          <v:rect style="width:0;height:1.5pt" o:hralign="center" o:hrstd="t" o:hr="t"/>
        </w:pict>
      </w:r>
    </w:p>
    <w:bookmarkEnd w:id="14"/>
    <w:bookmarkStart w:id="16" w:name="Xe259c6277b29357fc1cc4f5be0991613895320b"/>
    <w:p>
      <w:pPr>
        <w:pStyle w:val="Heading2"/>
      </w:pPr>
      <w:r>
        <w:t xml:space="preserve">1. Medical costs are the central issue</w:t>
      </w:r>
    </w:p>
    <w:p>
      <w:pPr>
        <w:pStyle w:val="FirstParagraph"/>
      </w:pPr>
      <w:r>
        <w:t xml:space="preserve">Humana reported a</w:t>
      </w:r>
      <w:r>
        <w:t xml:space="preserve"> </w:t>
      </w:r>
      <w:r>
        <w:rPr>
          <w:b/>
          <w:bCs/>
        </w:rPr>
        <w:t xml:space="preserve">Q1 Insurance benefit ratio of 89.4%</w:t>
      </w:r>
      <w:r>
        <w:t xml:space="preserve">, slightly better than its “just under 90%” guide. Management said early indicators—including hospital admissions, pharmacy claims, risk scores and emerging medical claims—were running in line with or better than expectations. It nevertheless maintained a conservative reserve posture because of the scale of new-member growth. (</w:t>
      </w:r>
      <w:hyperlink r:id="rId13">
        <w:r>
          <w:rPr>
            <w:rStyle w:val="Hyperlink"/>
          </w:rPr>
          <w:t xml:space="preserve">policy.humana.com</w:t>
        </w:r>
      </w:hyperlink>
      <w:r>
        <w:t xml:space="preserve">)</w:t>
      </w:r>
    </w:p>
    <w:p>
      <w:pPr>
        <w:pStyle w:val="BodyText"/>
      </w:pPr>
      <w:r>
        <w:t xml:space="preserve">Q2 should provide a much more complete view of the 2026 book. The key questions are:</w:t>
      </w:r>
    </w:p>
    <w:p>
      <w:pPr>
        <w:pStyle w:val="Compact"/>
        <w:numPr>
          <w:ilvl w:val="0"/>
          <w:numId w:val="1002"/>
        </w:numPr>
      </w:pPr>
      <w:r>
        <w:t xml:space="preserve">Are</w:t>
      </w:r>
      <w:r>
        <w:t xml:space="preserve"> </w:t>
      </w:r>
      <w:r>
        <w:rPr>
          <w:b/>
          <w:bCs/>
        </w:rPr>
        <w:t xml:space="preserve">new members</w:t>
      </w:r>
      <w:r>
        <w:t xml:space="preserve"> </w:t>
      </w:r>
      <w:r>
        <w:t xml:space="preserve">still running in line with pricing?</w:t>
      </w:r>
    </w:p>
    <w:p>
      <w:pPr>
        <w:pStyle w:val="Compact"/>
        <w:numPr>
          <w:ilvl w:val="0"/>
          <w:numId w:val="1002"/>
        </w:numPr>
      </w:pPr>
      <w:r>
        <w:t xml:space="preserve">Is performance consistent between</w:t>
      </w:r>
      <w:r>
        <w:t xml:space="preserve"> </w:t>
      </w:r>
      <w:r>
        <w:rPr>
          <w:b/>
          <w:bCs/>
        </w:rPr>
        <w:t xml:space="preserve">HMO and PPO</w:t>
      </w:r>
      <w:r>
        <w:t xml:space="preserve"> </w:t>
      </w:r>
      <w:r>
        <w:t xml:space="preserve">products?</w:t>
      </w:r>
    </w:p>
    <w:p>
      <w:pPr>
        <w:pStyle w:val="Compact"/>
        <w:numPr>
          <w:ilvl w:val="0"/>
          <w:numId w:val="1002"/>
        </w:numPr>
      </w:pPr>
      <w:r>
        <w:t xml:space="preserve">Have inpatient admissions, outpatient procedures or supplemental-benefit utilization accelerated?</w:t>
      </w:r>
    </w:p>
    <w:p>
      <w:pPr>
        <w:pStyle w:val="Compact"/>
        <w:numPr>
          <w:ilvl w:val="0"/>
          <w:numId w:val="1002"/>
        </w:numPr>
      </w:pPr>
      <w:r>
        <w:t xml:space="preserve">How much of any benefit-ratio upside comes from</w:t>
      </w:r>
      <w:r>
        <w:t xml:space="preserve"> </w:t>
      </w:r>
      <w:r>
        <w:rPr>
          <w:b/>
          <w:bCs/>
        </w:rPr>
        <w:t xml:space="preserve">current-year claims</w:t>
      </w:r>
      <w:r>
        <w:t xml:space="preserve"> </w:t>
      </w:r>
      <w:r>
        <w:t xml:space="preserve">versus favorable prior-period development?</w:t>
      </w:r>
    </w:p>
    <w:p>
      <w:pPr>
        <w:pStyle w:val="Compact"/>
        <w:numPr>
          <w:ilvl w:val="0"/>
          <w:numId w:val="1002"/>
        </w:numPr>
      </w:pPr>
      <w:r>
        <w:t xml:space="preserve">Has claims inventory or payment timing changed enough to complicate comparisons?</w:t>
      </w:r>
    </w:p>
    <w:bookmarkStart w:id="15" w:name="what-would-constitute-a-good-result"/>
    <w:p>
      <w:pPr>
        <w:pStyle w:val="Heading3"/>
      </w:pPr>
      <w:r>
        <w:t xml:space="preserve">What would constitute a good result?</w:t>
      </w:r>
    </w:p>
    <w:p>
      <w:pPr>
        <w:pStyle w:val="FirstParagraph"/>
      </w:pPr>
      <w:r>
        <w:t xml:space="preserve">A benefit ratio</w:t>
      </w:r>
      <w:r>
        <w:t xml:space="preserve"> </w:t>
      </w:r>
      <w:r>
        <w:rPr>
          <w:b/>
          <w:bCs/>
        </w:rPr>
        <w:t xml:space="preserve">at or below 91%</w:t>
      </w:r>
      <w:r>
        <w:t xml:space="preserve"> </w:t>
      </w:r>
      <w:r>
        <w:t xml:space="preserve">would be clearly constructive against guidance for “slightly above 91%,” particularly if management attributes the result to current-year cost trends rather than reserve releases.</w:t>
      </w:r>
    </w:p>
    <w:p>
      <w:pPr>
        <w:pStyle w:val="BodyText"/>
      </w:pPr>
      <w:r>
        <w:t xml:space="preserve">A ratio around</w:t>
      </w:r>
      <w:r>
        <w:t xml:space="preserve"> </w:t>
      </w:r>
      <w:r>
        <w:rPr>
          <w:b/>
          <w:bCs/>
        </w:rPr>
        <w:t xml:space="preserve">91%–91.3%</w:t>
      </w:r>
      <w:r>
        <w:t xml:space="preserve"> </w:t>
      </w:r>
      <w:r>
        <w:t xml:space="preserve">should be broadly acceptable if the new-member cohort remains stable and full-year guidance is maintained.</w:t>
      </w:r>
    </w:p>
    <w:p>
      <w:pPr>
        <w:pStyle w:val="BodyText"/>
      </w:pPr>
      <w:r>
        <w:t xml:space="preserve">A ratio materially above</w:t>
      </w:r>
      <w:r>
        <w:t xml:space="preserve"> </w:t>
      </w:r>
      <w:r>
        <w:rPr>
          <w:b/>
          <w:bCs/>
        </w:rPr>
        <w:t xml:space="preserve">91.5%</w:t>
      </w:r>
      <w:r>
        <w:t xml:space="preserve">, or language suggesting claims have worsened as they matured, would challenge the recovery narrative.</w:t>
      </w:r>
    </w:p>
    <w:p>
      <w:pPr>
        <w:pStyle w:val="BodyText"/>
      </w:pPr>
      <w:r>
        <w:t xml:space="preserve">The earnings quality matters more than the precise EPS number. Investors should prefer a $7.30 result driven by sound current-period medical costs over a higher EPS figure dependent on prior-period reserve development or below-the-line items.</w:t>
      </w:r>
    </w:p>
    <w:p>
      <w:r>
        <w:pict>
          <v:rect style="width:0;height:1.5pt" o:hralign="center" o:hrstd="t" o:hr="t"/>
        </w:pict>
      </w:r>
    </w:p>
    <w:bookmarkEnd w:id="15"/>
    <w:bookmarkEnd w:id="16"/>
    <w:bookmarkStart w:id="20" w:name="X2177d36c7af1a670661ad776501275184add3cb"/>
    <w:p>
      <w:pPr>
        <w:pStyle w:val="Heading2"/>
      </w:pPr>
      <w:r>
        <w:t xml:space="preserve">2. Industry read-throughs are favorable—but not conclusive</w:t>
      </w:r>
    </w:p>
    <w:p>
      <w:pPr>
        <w:pStyle w:val="FirstParagraph"/>
      </w:pPr>
      <w:r>
        <w:t xml:space="preserve">Recent managed-care earnings have generally pointed toward moderating medical-cost pressure:</w:t>
      </w:r>
    </w:p>
    <w:p>
      <w:pPr>
        <w:pStyle w:val="Compact"/>
        <w:numPr>
          <w:ilvl w:val="0"/>
          <w:numId w:val="1003"/>
        </w:numPr>
      </w:pPr>
      <w:r>
        <w:t xml:space="preserve">UnitedHealth reported a</w:t>
      </w:r>
      <w:r>
        <w:t xml:space="preserve"> </w:t>
      </w:r>
      <w:r>
        <w:rPr>
          <w:b/>
          <w:bCs/>
        </w:rPr>
        <w:t xml:space="preserve">Q2 medical-cost ratio of 86.7%</w:t>
      </w:r>
      <w:r>
        <w:t xml:space="preserve">, below expectations, and raised its adjusted EPS outlook to</w:t>
      </w:r>
      <w:r>
        <w:t xml:space="preserve"> </w:t>
      </w:r>
      <m:oMath>
        <m:r>
          <m:t>19.50</m:t>
        </m:r>
        <m:r>
          <m:rPr>
            <m:sty m:val="p"/>
          </m:rPr>
          <m:t>–</m:t>
        </m:r>
      </m:oMath>
      <w:r>
        <w:t xml:space="preserve">20.00. (</w:t>
      </w:r>
      <w:hyperlink r:id="rId17">
        <w:r>
          <w:rPr>
            <w:rStyle w:val="Hyperlink"/>
          </w:rPr>
          <w:t xml:space="preserve">sahmcapital.com</w:t>
        </w:r>
      </w:hyperlink>
      <w:r>
        <w:t xml:space="preserve">)</w:t>
      </w:r>
    </w:p>
    <w:p>
      <w:pPr>
        <w:pStyle w:val="Compact"/>
        <w:numPr>
          <w:ilvl w:val="0"/>
          <w:numId w:val="1003"/>
        </w:numPr>
      </w:pPr>
      <w:r>
        <w:t xml:space="preserve">Elevance reported favorable benefit-expense performance and raised adjusted EPS guidance, although its</w:t>
      </w:r>
      <w:r>
        <w:t xml:space="preserve"> </w:t>
      </w:r>
      <w:r>
        <w:rPr>
          <w:b/>
          <w:bCs/>
        </w:rPr>
        <w:t xml:space="preserve">89.7% benefit-expense ratio still increased year over year</w:t>
      </w:r>
      <w:r>
        <w:t xml:space="preserve"> </w:t>
      </w:r>
      <w:r>
        <w:t xml:space="preserve">because government-program costs remained elevated. (</w:t>
      </w:r>
      <w:hyperlink r:id="rId18">
        <w:r>
          <w:rPr>
            <w:rStyle w:val="Hyperlink"/>
          </w:rPr>
          <w:t xml:space="preserve">sec.gov</w:t>
        </w:r>
      </w:hyperlink>
      <w:r>
        <w:t xml:space="preserve">)</w:t>
      </w:r>
    </w:p>
    <w:p>
      <w:pPr>
        <w:pStyle w:val="Compact"/>
        <w:numPr>
          <w:ilvl w:val="0"/>
          <w:numId w:val="1003"/>
        </w:numPr>
      </w:pPr>
      <w:r>
        <w:t xml:space="preserve">Centene reported a</w:t>
      </w:r>
      <w:r>
        <w:t xml:space="preserve"> </w:t>
      </w:r>
      <w:r>
        <w:rPr>
          <w:b/>
          <w:bCs/>
        </w:rPr>
        <w:t xml:space="preserve">89.6% health-benefits ratio</w:t>
      </w:r>
      <w:r>
        <w:t xml:space="preserve">, including fundamental outperformance in Medicare Advantage and PDP, and materially raised full-year guidance. (</w:t>
      </w:r>
      <w:hyperlink r:id="rId19">
        <w:r>
          <w:rPr>
            <w:rStyle w:val="Hyperlink"/>
          </w:rPr>
          <w:t xml:space="preserve">investors.centene.com</w:t>
        </w:r>
      </w:hyperlink>
      <w:r>
        <w:t xml:space="preserve">)</w:t>
      </w:r>
    </w:p>
    <w:p>
      <w:pPr>
        <w:pStyle w:val="FirstParagraph"/>
      </w:pPr>
      <w:r>
        <w:t xml:space="preserve">That backdrop lowers the probability of a broad utilization shock. But it does not remove Humana-specific risk. Humana is unusually concentrated in Medicare Advantage, added more than one million individual MA members entering 2026, and is absorbing a company-specific quality-bonus revenue headwind.</w:t>
      </w:r>
    </w:p>
    <w:p>
      <w:pPr>
        <w:pStyle w:val="BodyText"/>
      </w:pPr>
      <w:r>
        <w:t xml:space="preserve">The peer results therefore make a poor Humana print harder to explain away as an industry phenomenon.</w:t>
      </w:r>
    </w:p>
    <w:p>
      <w:r>
        <w:pict>
          <v:rect style="width:0;height:1.5pt" o:hralign="center" o:hrstd="t" o:hr="t"/>
        </w:pict>
      </w:r>
    </w:p>
    <w:bookmarkEnd w:id="20"/>
    <w:bookmarkStart w:id="22" w:name="Xcd5eb28005353466f20031618d1d5a6ee728394"/>
    <w:p>
      <w:pPr>
        <w:pStyle w:val="Heading2"/>
      </w:pPr>
      <w:r>
        <w:t xml:space="preserve">3. The 2027 bid discussion may matter more than 2026 guidance</w:t>
      </w:r>
    </w:p>
    <w:p>
      <w:pPr>
        <w:pStyle w:val="FirstParagraph"/>
      </w:pPr>
      <w:r>
        <w:t xml:space="preserve">At Q1, management said 2027 Medicare Advantage funding remained below medical-cost trend and indicated that Humana would adjust benefits and potentially its geographic footprint. Its priorities were explicit:</w:t>
      </w:r>
    </w:p>
    <w:p>
      <w:pPr>
        <w:pStyle w:val="Compact"/>
        <w:numPr>
          <w:ilvl w:val="0"/>
          <w:numId w:val="1004"/>
        </w:numPr>
      </w:pPr>
      <w:r>
        <w:t xml:space="preserve">Put the company on track for at least a</w:t>
      </w:r>
      <w:r>
        <w:t xml:space="preserve"> </w:t>
      </w:r>
      <w:r>
        <w:rPr>
          <w:b/>
          <w:bCs/>
        </w:rPr>
        <w:t xml:space="preserve">3% sustainable individual MA margin in 2028</w:t>
      </w:r>
      <w:r>
        <w:t xml:space="preserve">.</w:t>
      </w:r>
    </w:p>
    <w:p>
      <w:pPr>
        <w:pStyle w:val="Compact"/>
        <w:numPr>
          <w:ilvl w:val="0"/>
          <w:numId w:val="1004"/>
        </w:numPr>
      </w:pPr>
      <w:r>
        <w:t xml:space="preserve">Retain existing members.</w:t>
      </w:r>
    </w:p>
    <w:p>
      <w:pPr>
        <w:pStyle w:val="Compact"/>
        <w:numPr>
          <w:ilvl w:val="0"/>
          <w:numId w:val="1004"/>
        </w:numPr>
      </w:pPr>
      <w:r>
        <w:t xml:space="preserve">Treat growth as a distant third priority.</w:t>
      </w:r>
    </w:p>
    <w:p>
      <w:pPr>
        <w:pStyle w:val="FirstParagraph"/>
      </w:pPr>
      <w:r>
        <w:t xml:space="preserve">Investors should listen for additional detail now that the 2027 bid process is complete.</w:t>
      </w:r>
    </w:p>
    <w:bookmarkStart w:id="21" w:name="important-questions"/>
    <w:p>
      <w:pPr>
        <w:pStyle w:val="Heading3"/>
      </w:pPr>
      <w:r>
        <w:t xml:space="preserve">Important questions</w:t>
      </w:r>
    </w:p>
    <w:p>
      <w:pPr>
        <w:pStyle w:val="Compact"/>
        <w:numPr>
          <w:ilvl w:val="0"/>
          <w:numId w:val="1005"/>
        </w:numPr>
      </w:pPr>
      <w:r>
        <w:t xml:space="preserve">How much 2027 benefit reduction was required to offset the funding-cost gap?</w:t>
      </w:r>
    </w:p>
    <w:p>
      <w:pPr>
        <w:pStyle w:val="Compact"/>
        <w:numPr>
          <w:ilvl w:val="0"/>
          <w:numId w:val="1005"/>
        </w:numPr>
      </w:pPr>
      <w:r>
        <w:t xml:space="preserve">Are changes concentrated in a few underperforming markets, or broadly distributed?</w:t>
      </w:r>
    </w:p>
    <w:p>
      <w:pPr>
        <w:pStyle w:val="Compact"/>
        <w:numPr>
          <w:ilvl w:val="0"/>
          <w:numId w:val="1005"/>
        </w:numPr>
      </w:pPr>
      <w:r>
        <w:t xml:space="preserve">What level of 2027 membership attrition is embedded in the margin plan?</w:t>
      </w:r>
    </w:p>
    <w:p>
      <w:pPr>
        <w:pStyle w:val="Compact"/>
        <w:numPr>
          <w:ilvl w:val="0"/>
          <w:numId w:val="1005"/>
        </w:numPr>
      </w:pPr>
      <w:r>
        <w:t xml:space="preserve">How much margin progress can come from pricing and benefits versus operating-cost savings?</w:t>
      </w:r>
    </w:p>
    <w:p>
      <w:pPr>
        <w:pStyle w:val="Compact"/>
        <w:numPr>
          <w:ilvl w:val="0"/>
          <w:numId w:val="1005"/>
        </w:numPr>
      </w:pPr>
      <w:r>
        <w:t xml:space="preserve">Has Humana built sufficient conservatism into bids for the still-young 2026 member cohort?</w:t>
      </w:r>
    </w:p>
    <w:p>
      <w:pPr>
        <w:pStyle w:val="Compact"/>
        <w:numPr>
          <w:ilvl w:val="0"/>
          <w:numId w:val="1005"/>
        </w:numPr>
      </w:pPr>
      <w:r>
        <w:t xml:space="preserve">How is the company managing total-beneficiary-cost limitations ahead of a potential 2028 Stars recovery?</w:t>
      </w:r>
    </w:p>
    <w:p>
      <w:pPr>
        <w:pStyle w:val="FirstParagraph"/>
      </w:pPr>
      <w:r>
        <w:t xml:space="preserve">The best outcome would be commentary that Humana can produce</w:t>
      </w:r>
      <w:r>
        <w:t xml:space="preserve"> </w:t>
      </w:r>
      <w:r>
        <w:rPr>
          <w:b/>
          <w:bCs/>
        </w:rPr>
        <w:t xml:space="preserve">meaningful 2027 margin expansion with manageable retention pressure</w:t>
      </w:r>
      <w:r>
        <w:t xml:space="preserve">. The risk is that benefit cuts needed to restore profitability cause more enrollment losses or adverse selection than management currently expects.</w:t>
      </w:r>
    </w:p>
    <w:p>
      <w:r>
        <w:pict>
          <v:rect style="width:0;height:1.5pt" o:hralign="center" o:hrstd="t" o:hr="t"/>
        </w:pict>
      </w:r>
    </w:p>
    <w:bookmarkEnd w:id="21"/>
    <w:bookmarkEnd w:id="22"/>
    <w:bookmarkStart w:id="23" w:name="X965729e1e01c3060f0c73bdb649b13d22f7a510"/>
    <w:p>
      <w:pPr>
        <w:pStyle w:val="Heading2"/>
      </w:pPr>
      <w:r>
        <w:t xml:space="preserve">4. Stars: look for evidence, not general confidence</w:t>
      </w:r>
    </w:p>
    <w:p>
      <w:pPr>
        <w:pStyle w:val="FirstParagraph"/>
      </w:pPr>
      <w:r>
        <w:t xml:space="preserve">Humana has said it remains confident it can return to</w:t>
      </w:r>
      <w:r>
        <w:t xml:space="preserve"> </w:t>
      </w:r>
      <w:r>
        <w:rPr>
          <w:b/>
          <w:bCs/>
        </w:rPr>
        <w:t xml:space="preserve">top-quartile Star Ratings performance for bonus year 2028</w:t>
      </w:r>
      <w:r>
        <w:t xml:space="preserve">, while acknowledging that final thresholds are outside its control. Management specifically promised a more complete Q2 update after the hybrid-measure season concluded.</w:t>
      </w:r>
    </w:p>
    <w:p>
      <w:pPr>
        <w:pStyle w:val="BodyText"/>
      </w:pPr>
      <w:r>
        <w:t xml:space="preserve">Investors should look for quantifiable progress in:</w:t>
      </w:r>
    </w:p>
    <w:p>
      <w:pPr>
        <w:pStyle w:val="Compact"/>
        <w:numPr>
          <w:ilvl w:val="0"/>
          <w:numId w:val="1006"/>
        </w:numPr>
      </w:pPr>
      <w:r>
        <w:t xml:space="preserve">HEDIS gap closure.</w:t>
      </w:r>
    </w:p>
    <w:p>
      <w:pPr>
        <w:pStyle w:val="Compact"/>
        <w:numPr>
          <w:ilvl w:val="0"/>
          <w:numId w:val="1006"/>
        </w:numPr>
      </w:pPr>
      <w:r>
        <w:t xml:space="preserve">Member engagement and activation.</w:t>
      </w:r>
    </w:p>
    <w:p>
      <w:pPr>
        <w:pStyle w:val="Compact"/>
        <w:numPr>
          <w:ilvl w:val="0"/>
          <w:numId w:val="1006"/>
        </w:numPr>
      </w:pPr>
      <w:r>
        <w:t xml:space="preserve">Medication adherence.</w:t>
      </w:r>
    </w:p>
    <w:p>
      <w:pPr>
        <w:pStyle w:val="Compact"/>
        <w:numPr>
          <w:ilvl w:val="0"/>
          <w:numId w:val="1006"/>
        </w:numPr>
      </w:pPr>
      <w:r>
        <w:t xml:space="preserve">Customer-experience measures.</w:t>
      </w:r>
    </w:p>
    <w:p>
      <w:pPr>
        <w:pStyle w:val="Compact"/>
        <w:numPr>
          <w:ilvl w:val="0"/>
          <w:numId w:val="1006"/>
        </w:numPr>
      </w:pPr>
      <w:r>
        <w:t xml:space="preserve">Complaints, call-center performance and administrative quality.</w:t>
      </w:r>
    </w:p>
    <w:p>
      <w:pPr>
        <w:pStyle w:val="Compact"/>
        <w:numPr>
          <w:ilvl w:val="0"/>
          <w:numId w:val="1006"/>
        </w:numPr>
      </w:pPr>
      <w:r>
        <w:t xml:space="preserve">The percentage of membership management believes is tracking toward four stars or better.</w:t>
      </w:r>
    </w:p>
    <w:p>
      <w:pPr>
        <w:pStyle w:val="FirstParagraph"/>
      </w:pPr>
      <w:r>
        <w:t xml:space="preserve">The Stars recovery is critical because the 2026 earnings collapse is largely a revenue problem created by lost quality bonuses. A credible recovery could materially expand earnings in 2028; another disappointing ratings cycle would weaken the central long-term investment thesis.</w:t>
      </w:r>
    </w:p>
    <w:p>
      <w:pPr>
        <w:pStyle w:val="BodyText"/>
      </w:pPr>
      <w:r>
        <w:t xml:space="preserve">Management does not need to guarantee the October ratings outcome, but it should be able to explain whether internal performance is tracking above, at or below the levels assumed in the 2028 margin target.</w:t>
      </w:r>
    </w:p>
    <w:p>
      <w:r>
        <w:pict>
          <v:rect style="width:0;height:1.5pt" o:hralign="center" o:hrstd="t" o:hr="t"/>
        </w:pict>
      </w:r>
    </w:p>
    <w:bookmarkEnd w:id="23"/>
    <w:bookmarkStart w:id="24" w:name="Xa79a926075ac71a65adaa252a7eb546b8b7acdb"/>
    <w:p>
      <w:pPr>
        <w:pStyle w:val="Heading2"/>
      </w:pPr>
      <w:r>
        <w:t xml:space="preserve">5. CenterWell needs to show sequential improvement</w:t>
      </w:r>
    </w:p>
    <w:p>
      <w:pPr>
        <w:pStyle w:val="FirstParagraph"/>
      </w:pPr>
      <w:r>
        <w:t xml:space="preserve">CenterWell’s Q1 revenue increased substantially, but segment profitability declined. Management attributed the weakness to several factors expected to normalize or reverse later in the year, including:</w:t>
      </w:r>
    </w:p>
    <w:p>
      <w:pPr>
        <w:pStyle w:val="Compact"/>
        <w:numPr>
          <w:ilvl w:val="0"/>
          <w:numId w:val="1007"/>
        </w:numPr>
      </w:pPr>
      <w:r>
        <w:t xml:space="preserve">The Villages Health integration timing.</w:t>
      </w:r>
    </w:p>
    <w:p>
      <w:pPr>
        <w:pStyle w:val="Compact"/>
        <w:numPr>
          <w:ilvl w:val="0"/>
          <w:numId w:val="1007"/>
        </w:numPr>
      </w:pPr>
      <w:r>
        <w:t xml:space="preserve">MaxHealth transaction and integration costs.</w:t>
      </w:r>
    </w:p>
    <w:p>
      <w:pPr>
        <w:pStyle w:val="Compact"/>
        <w:numPr>
          <w:ilvl w:val="0"/>
          <w:numId w:val="1007"/>
        </w:numPr>
      </w:pPr>
      <w:r>
        <w:t xml:space="preserve">ACO REACH skin-substitute expenses.</w:t>
      </w:r>
    </w:p>
    <w:p>
      <w:pPr>
        <w:pStyle w:val="Compact"/>
        <w:numPr>
          <w:ilvl w:val="0"/>
          <w:numId w:val="1007"/>
        </w:numPr>
      </w:pPr>
      <w:r>
        <w:t xml:space="preserve">Specialty-pharmacy mix.</w:t>
      </w:r>
    </w:p>
    <w:p>
      <w:pPr>
        <w:pStyle w:val="Compact"/>
        <w:numPr>
          <w:ilvl w:val="0"/>
          <w:numId w:val="1007"/>
        </w:numPr>
      </w:pPr>
      <w:r>
        <w:t xml:space="preserve">Comparisons with unusually favorable Q1 2025 items.</w:t>
      </w:r>
    </w:p>
    <w:p>
      <w:pPr>
        <w:pStyle w:val="FirstParagraph"/>
      </w:pPr>
      <w:r>
        <w:t xml:space="preserve">Humana maintained full-year CenterWell guidance of:</w:t>
      </w:r>
    </w:p>
    <w:p>
      <w:pPr>
        <w:pStyle w:val="Compact"/>
        <w:numPr>
          <w:ilvl w:val="0"/>
          <w:numId w:val="1008"/>
        </w:numPr>
      </w:pPr>
      <m:oMath>
        <m:r>
          <m:t>1.3</m:t>
        </m:r>
        <m:r>
          <m:t>b</m:t>
        </m:r>
        <m:r>
          <m:t>i</m:t>
        </m:r>
        <m:r>
          <m:t>l</m:t>
        </m:r>
        <m:r>
          <m:t>l</m:t>
        </m:r>
        <m:r>
          <m:t>i</m:t>
        </m:r>
        <m:r>
          <m:t>o</m:t>
        </m:r>
        <m:r>
          <m:t>n</m:t>
        </m:r>
        <m:r>
          <m:rPr>
            <m:sty m:val="p"/>
          </m:rPr>
          <m:t>–</m:t>
        </m:r>
      </m:oMath>
      <w:r>
        <w:rPr>
          <w:b/>
          <w:bCs/>
        </w:rPr>
        <w:t xml:space="preserve">1.8 billion GAAP income from operations.</w:t>
      </w:r>
    </w:p>
    <w:p>
      <w:pPr>
        <w:pStyle w:val="Compact"/>
        <w:numPr>
          <w:ilvl w:val="0"/>
          <w:numId w:val="1008"/>
        </w:numPr>
      </w:pPr>
      <m:oMath>
        <m:r>
          <m:t>1.5</m:t>
        </m:r>
        <m:r>
          <m:t>b</m:t>
        </m:r>
        <m:r>
          <m:t>i</m:t>
        </m:r>
        <m:r>
          <m:t>l</m:t>
        </m:r>
        <m:r>
          <m:t>l</m:t>
        </m:r>
        <m:r>
          <m:t>i</m:t>
        </m:r>
        <m:r>
          <m:t>o</m:t>
        </m:r>
        <m:r>
          <m:t>n</m:t>
        </m:r>
        <m:r>
          <m:rPr>
            <m:sty m:val="p"/>
          </m:rPr>
          <m:t>–</m:t>
        </m:r>
      </m:oMath>
      <w:r>
        <w:rPr>
          <w:b/>
          <w:bCs/>
        </w:rPr>
        <w:t xml:space="preserve">2.0 billion adjusted income from operations.</w:t>
      </w:r>
    </w:p>
    <w:p>
      <w:pPr>
        <w:pStyle w:val="FirstParagraph"/>
      </w:pPr>
      <w:r>
        <w:t xml:space="preserve">The report should demonstrate that Q1 was not the beginning of a sustained margin deterioration. Watch for:</w:t>
      </w:r>
    </w:p>
    <w:p>
      <w:pPr>
        <w:pStyle w:val="Compact"/>
        <w:numPr>
          <w:ilvl w:val="0"/>
          <w:numId w:val="1009"/>
        </w:numPr>
      </w:pPr>
      <w:r>
        <w:t xml:space="preserve">Sequential CenterWell operating-income improvement.</w:t>
      </w:r>
    </w:p>
    <w:p>
      <w:pPr>
        <w:pStyle w:val="Compact"/>
        <w:numPr>
          <w:ilvl w:val="0"/>
          <w:numId w:val="1009"/>
        </w:numPr>
      </w:pPr>
      <w:r>
        <w:t xml:space="preserve">MaxHealth integration progress.</w:t>
      </w:r>
    </w:p>
    <w:p>
      <w:pPr>
        <w:pStyle w:val="Compact"/>
        <w:numPr>
          <w:ilvl w:val="0"/>
          <w:numId w:val="1009"/>
        </w:numPr>
      </w:pPr>
      <w:r>
        <w:t xml:space="preserve">Organic versus acquisition-driven primary-care patient growth.</w:t>
      </w:r>
    </w:p>
    <w:p>
      <w:pPr>
        <w:pStyle w:val="Compact"/>
        <w:numPr>
          <w:ilvl w:val="0"/>
          <w:numId w:val="1009"/>
        </w:numPr>
      </w:pPr>
      <w:r>
        <w:t xml:space="preserve">Clinic maturity and profitability.</w:t>
      </w:r>
    </w:p>
    <w:p>
      <w:pPr>
        <w:pStyle w:val="Compact"/>
        <w:numPr>
          <w:ilvl w:val="0"/>
          <w:numId w:val="1009"/>
        </w:numPr>
      </w:pPr>
      <w:r>
        <w:t xml:space="preserve">Mail-order pharmacy penetration among new Humana members.</w:t>
      </w:r>
    </w:p>
    <w:p>
      <w:pPr>
        <w:pStyle w:val="Compact"/>
        <w:numPr>
          <w:ilvl w:val="0"/>
          <w:numId w:val="1009"/>
        </w:numPr>
      </w:pPr>
      <w:r>
        <w:t xml:space="preserve">Home-health admission growth.</w:t>
      </w:r>
    </w:p>
    <w:p>
      <w:pPr>
        <w:pStyle w:val="Compact"/>
        <w:numPr>
          <w:ilvl w:val="0"/>
          <w:numId w:val="1009"/>
        </w:numPr>
      </w:pPr>
      <w:r>
        <w:t xml:space="preserve">Effects of the final year of the V28 risk-model transition.</w:t>
      </w:r>
    </w:p>
    <w:p>
      <w:pPr>
        <w:pStyle w:val="FirstParagraph"/>
      </w:pPr>
      <w:r>
        <w:t xml:space="preserve">Strong revenue growth without a path to better margins would diminish the value of CenterWell as Humana’s earnings-diversification engine.</w:t>
      </w:r>
    </w:p>
    <w:p>
      <w:r>
        <w:pict>
          <v:rect style="width:0;height:1.5pt" o:hralign="center" o:hrstd="t" o:hr="t"/>
        </w:pict>
      </w:r>
    </w:p>
    <w:bookmarkEnd w:id="24"/>
    <w:bookmarkStart w:id="27" w:name="X77bbd9ed77998227fcfc88f8e76d879b9f19c67"/>
    <w:p>
      <w:pPr>
        <w:pStyle w:val="Heading2"/>
      </w:pPr>
      <w:r>
        <w:t xml:space="preserve">6. Capital flexibility is improving, but obligations remain</w:t>
      </w:r>
    </w:p>
    <w:p>
      <w:pPr>
        <w:pStyle w:val="FirstParagraph"/>
      </w:pPr>
      <w:r>
        <w:t xml:space="preserve">In June, Humana agreed to sell all or substantially all of its minority interest in Gentiva for approximately</w:t>
      </w:r>
      <w:r>
        <w:t xml:space="preserve"> </w:t>
      </w:r>
      <w:r>
        <w:rPr>
          <w:b/>
          <w:bCs/>
        </w:rPr>
        <w:t xml:space="preserve">$900 million</w:t>
      </w:r>
      <w:r>
        <w:t xml:space="preserve">. The transaction is expected to close in Q3, with proceeds intended for general corporate purposes and no material expected effect on 2026 earnings. (</w:t>
      </w:r>
      <w:hyperlink r:id="rId25">
        <w:r>
          <w:rPr>
            <w:rStyle w:val="Hyperlink"/>
          </w:rPr>
          <w:t xml:space="preserve">humana.gcs-web.com</w:t>
        </w:r>
      </w:hyperlink>
      <w:r>
        <w:t xml:space="preserve">)</w:t>
      </w:r>
    </w:p>
    <w:p>
      <w:pPr>
        <w:pStyle w:val="BodyText"/>
      </w:pPr>
      <w:r>
        <w:t xml:space="preserve">That provides useful liquidity because Humana has meaningful future capital requirements tied to its primary-care partnership with Welsh Carson. Its 2025 10-K estimated the first two clinic cohorts at approximately</w:t>
      </w:r>
      <w:r>
        <w:t xml:space="preserve"> </w:t>
      </w:r>
      <m:oMath>
        <m:r>
          <m:t>1.0</m:t>
        </m:r>
        <m:r>
          <m:t>b</m:t>
        </m:r>
        <m:r>
          <m:t>i</m:t>
        </m:r>
        <m:r>
          <m:t>l</m:t>
        </m:r>
        <m:r>
          <m:t>l</m:t>
        </m:r>
        <m:r>
          <m:t>i</m:t>
        </m:r>
        <m:r>
          <m:t>o</m:t>
        </m:r>
        <m:r>
          <m:t>n</m:t>
        </m:r>
        <m:r>
          <m:rPr>
            <m:sty m:val="p"/>
          </m:rPr>
          <m:t>–</m:t>
        </m:r>
      </m:oMath>
      <w:r>
        <w:rPr>
          <w:b/>
          <w:bCs/>
        </w:rPr>
        <w:t xml:space="preserve">1.5 billion</w:t>
      </w:r>
      <w:r>
        <w:t xml:space="preserve">, with total potential purchases across existing cohorts estimated at</w:t>
      </w:r>
      <w:r>
        <w:t xml:space="preserve"> </w:t>
      </w:r>
      <m:oMath>
        <m:r>
          <m:t>3</m:t>
        </m:r>
        <m:r>
          <m:t>b</m:t>
        </m:r>
        <m:r>
          <m:t>i</m:t>
        </m:r>
        <m:r>
          <m:t>l</m:t>
        </m:r>
        <m:r>
          <m:t>l</m:t>
        </m:r>
        <m:r>
          <m:t>i</m:t>
        </m:r>
        <m:r>
          <m:t>o</m:t>
        </m:r>
        <m:r>
          <m:t>n</m:t>
        </m:r>
        <m:r>
          <m:rPr>
            <m:sty m:val="p"/>
          </m:rPr>
          <m:t>–</m:t>
        </m:r>
      </m:oMath>
      <w:r>
        <w:t xml:space="preserve">5 billion over a multiyear period. (</w:t>
      </w:r>
      <w:hyperlink r:id="rId26">
        <w:r>
          <w:rPr>
            <w:rStyle w:val="Hyperlink"/>
          </w:rPr>
          <w:t xml:space="preserve">humana.gcs-web.com</w:t>
        </w:r>
      </w:hyperlink>
      <w:r>
        <w:t xml:space="preserve">)</w:t>
      </w:r>
    </w:p>
    <w:p>
      <w:pPr>
        <w:pStyle w:val="BodyText"/>
      </w:pPr>
      <w:r>
        <w:t xml:space="preserve">Investors should look for:</w:t>
      </w:r>
    </w:p>
    <w:p>
      <w:pPr>
        <w:pStyle w:val="Compact"/>
        <w:numPr>
          <w:ilvl w:val="0"/>
          <w:numId w:val="1010"/>
        </w:numPr>
      </w:pPr>
      <w:r>
        <w:t xml:space="preserve">Whether Gentiva proceeds will reduce debt, support clinic purchases or fund other acquisitions.</w:t>
      </w:r>
    </w:p>
    <w:p>
      <w:pPr>
        <w:pStyle w:val="Compact"/>
        <w:numPr>
          <w:ilvl w:val="0"/>
          <w:numId w:val="1010"/>
        </w:numPr>
      </w:pPr>
      <w:r>
        <w:t xml:space="preserve">Any update on Welsh Carson put/call decisions.</w:t>
      </w:r>
    </w:p>
    <w:p>
      <w:pPr>
        <w:pStyle w:val="Compact"/>
        <w:numPr>
          <w:ilvl w:val="0"/>
          <w:numId w:val="1010"/>
        </w:numPr>
      </w:pPr>
      <w:r>
        <w:t xml:space="preserve">Parent-company liquidity after acquisitions and debt issuance.</w:t>
      </w:r>
    </w:p>
    <w:p>
      <w:pPr>
        <w:pStyle w:val="Compact"/>
        <w:numPr>
          <w:ilvl w:val="0"/>
          <w:numId w:val="1010"/>
        </w:numPr>
      </w:pPr>
      <w:r>
        <w:t xml:space="preserve">Confirmation that repurchases remain limited to offsetting employee dilution.</w:t>
      </w:r>
    </w:p>
    <w:p>
      <w:pPr>
        <w:pStyle w:val="Compact"/>
        <w:numPr>
          <w:ilvl w:val="0"/>
          <w:numId w:val="1010"/>
        </w:numPr>
      </w:pPr>
      <w:r>
        <w:t xml:space="preserve">Whether management sees room to accelerate shareholder returns before the 2028 earnings recovery.</w:t>
      </w:r>
    </w:p>
    <w:p>
      <w:pPr>
        <w:pStyle w:val="FirstParagraph"/>
      </w:pPr>
      <w:r>
        <w:t xml:space="preserve">A major buyback announcement is unlikely to be the priority; balance-sheet resilience and funding strategic obligations should come first.</w:t>
      </w:r>
    </w:p>
    <w:p>
      <w:r>
        <w:pict>
          <v:rect style="width:0;height:1.5pt" o:hralign="center" o:hrstd="t" o:hr="t"/>
        </w:pict>
      </w:r>
    </w:p>
    <w:bookmarkEnd w:id="27"/>
    <w:bookmarkStart w:id="31" w:name="potential-stock-reaction-framework"/>
    <w:p>
      <w:pPr>
        <w:pStyle w:val="Heading2"/>
      </w:pPr>
      <w:r>
        <w:t xml:space="preserve">Potential stock-reaction framework</w:t>
      </w:r>
    </w:p>
    <w:bookmarkStart w:id="28" w:name="bull-case"/>
    <w:p>
      <w:pPr>
        <w:pStyle w:val="Heading3"/>
      </w:pPr>
      <w:r>
        <w:t xml:space="preserve">Bull case</w:t>
      </w:r>
    </w:p>
    <w:p>
      <w:pPr>
        <w:pStyle w:val="Compact"/>
        <w:numPr>
          <w:ilvl w:val="0"/>
          <w:numId w:val="1011"/>
        </w:numPr>
      </w:pPr>
      <w:r>
        <w:t xml:space="preserve">Benefit ratio at or below approximately 91%.</w:t>
      </w:r>
    </w:p>
    <w:p>
      <w:pPr>
        <w:pStyle w:val="Compact"/>
        <w:numPr>
          <w:ilvl w:val="0"/>
          <w:numId w:val="1011"/>
        </w:numPr>
      </w:pPr>
      <w:r>
        <w:t xml:space="preserve">Favorability driven by current-year claims.</w:t>
      </w:r>
    </w:p>
    <w:p>
      <w:pPr>
        <w:pStyle w:val="Compact"/>
        <w:numPr>
          <w:ilvl w:val="0"/>
          <w:numId w:val="1011"/>
        </w:numPr>
      </w:pPr>
      <w:r>
        <w:t xml:space="preserve">New and retained MA cohorts both remain at least in line with pricing.</w:t>
      </w:r>
    </w:p>
    <w:p>
      <w:pPr>
        <w:pStyle w:val="Compact"/>
        <w:numPr>
          <w:ilvl w:val="0"/>
          <w:numId w:val="1011"/>
        </w:numPr>
      </w:pPr>
      <w:r>
        <w:t xml:space="preserve">Full-year benefit-ratio guidance improves or management adds meaningful EPS cushion above $9.</w:t>
      </w:r>
    </w:p>
    <w:p>
      <w:pPr>
        <w:pStyle w:val="Compact"/>
        <w:numPr>
          <w:ilvl w:val="0"/>
          <w:numId w:val="1011"/>
        </w:numPr>
      </w:pPr>
      <w:r>
        <w:t xml:space="preserve">2027 bids imply clear margin expansion with acceptable retention.</w:t>
      </w:r>
    </w:p>
    <w:p>
      <w:pPr>
        <w:pStyle w:val="Compact"/>
        <w:numPr>
          <w:ilvl w:val="0"/>
          <w:numId w:val="1011"/>
        </w:numPr>
      </w:pPr>
      <w:r>
        <w:t xml:space="preserve">Quantitative Stars commentary supports a 2028 quality-bonus recovery.</w:t>
      </w:r>
    </w:p>
    <w:p>
      <w:pPr>
        <w:pStyle w:val="Compact"/>
        <w:numPr>
          <w:ilvl w:val="0"/>
          <w:numId w:val="1011"/>
        </w:numPr>
      </w:pPr>
      <w:r>
        <w:t xml:space="preserve">CenterWell margins improve sequentially.</w:t>
      </w:r>
    </w:p>
    <w:p>
      <w:pPr>
        <w:pStyle w:val="FirstParagraph"/>
      </w:pPr>
      <w:r>
        <w:t xml:space="preserve">This would validate both the near-term utilization thesis and the longer-term 2028 earnings recovery.</w:t>
      </w:r>
    </w:p>
    <w:bookmarkEnd w:id="28"/>
    <w:bookmarkStart w:id="29" w:name="base-case"/>
    <w:p>
      <w:pPr>
        <w:pStyle w:val="Heading3"/>
      </w:pPr>
      <w:r>
        <w:t xml:space="preserve">Base case</w:t>
      </w:r>
    </w:p>
    <w:p>
      <w:pPr>
        <w:pStyle w:val="Compact"/>
        <w:numPr>
          <w:ilvl w:val="0"/>
          <w:numId w:val="1012"/>
        </w:numPr>
      </w:pPr>
      <w:r>
        <w:t xml:space="preserve">Adjusted EPS around</w:t>
      </w:r>
      <w:r>
        <w:t xml:space="preserve"> </w:t>
      </w:r>
      <m:oMath>
        <m:r>
          <m:t>7.20</m:t>
        </m:r>
        <m:r>
          <m:rPr>
            <m:sty m:val="p"/>
          </m:rPr>
          <m:t>–</m:t>
        </m:r>
      </m:oMath>
      <w:r>
        <w:t xml:space="preserve">7.50.</w:t>
      </w:r>
    </w:p>
    <w:p>
      <w:pPr>
        <w:pStyle w:val="Compact"/>
        <w:numPr>
          <w:ilvl w:val="0"/>
          <w:numId w:val="1012"/>
        </w:numPr>
      </w:pPr>
      <w:r>
        <w:t xml:space="preserve">Benefit ratio near 91%–91.3%.</w:t>
      </w:r>
    </w:p>
    <w:p>
      <w:pPr>
        <w:pStyle w:val="Compact"/>
        <w:numPr>
          <w:ilvl w:val="0"/>
          <w:numId w:val="1012"/>
        </w:numPr>
      </w:pPr>
      <w:r>
        <w:t xml:space="preserve">Full-year guidance reaffirmed.</w:t>
      </w:r>
    </w:p>
    <w:p>
      <w:pPr>
        <w:pStyle w:val="Compact"/>
        <w:numPr>
          <w:ilvl w:val="0"/>
          <w:numId w:val="1012"/>
        </w:numPr>
      </w:pPr>
      <w:r>
        <w:t xml:space="preserve">Medical costs remain stable, but management preserves conservatism.</w:t>
      </w:r>
    </w:p>
    <w:p>
      <w:pPr>
        <w:pStyle w:val="Compact"/>
        <w:numPr>
          <w:ilvl w:val="0"/>
          <w:numId w:val="1012"/>
        </w:numPr>
      </w:pPr>
      <w:r>
        <w:t xml:space="preserve">Constructive but non-quantitative commentary on 2027 bids and Stars.</w:t>
      </w:r>
    </w:p>
    <w:p>
      <w:pPr>
        <w:pStyle w:val="Compact"/>
        <w:numPr>
          <w:ilvl w:val="0"/>
          <w:numId w:val="1012"/>
        </w:numPr>
      </w:pPr>
      <w:r>
        <w:t xml:space="preserve">CenterWell improves modestly.</w:t>
      </w:r>
    </w:p>
    <w:p>
      <w:pPr>
        <w:pStyle w:val="FirstParagraph"/>
      </w:pPr>
      <w:r>
        <w:t xml:space="preserve">This would be operationally adequate, although the stock reaction could be muted because the shares already discount substantial improvement.</w:t>
      </w:r>
    </w:p>
    <w:bookmarkEnd w:id="29"/>
    <w:bookmarkStart w:id="30" w:name="bear-case"/>
    <w:p>
      <w:pPr>
        <w:pStyle w:val="Heading3"/>
      </w:pPr>
      <w:r>
        <w:t xml:space="preserve">Bear case</w:t>
      </w:r>
    </w:p>
    <w:p>
      <w:pPr>
        <w:pStyle w:val="Compact"/>
        <w:numPr>
          <w:ilvl w:val="0"/>
          <w:numId w:val="1013"/>
        </w:numPr>
      </w:pPr>
      <w:r>
        <w:t xml:space="preserve">Benefit ratio above approximately 91.5%.</w:t>
      </w:r>
    </w:p>
    <w:p>
      <w:pPr>
        <w:pStyle w:val="Compact"/>
        <w:numPr>
          <w:ilvl w:val="0"/>
          <w:numId w:val="1013"/>
        </w:numPr>
      </w:pPr>
      <w:r>
        <w:t xml:space="preserve">Deterioration concentrated among new MA members.</w:t>
      </w:r>
    </w:p>
    <w:p>
      <w:pPr>
        <w:pStyle w:val="Compact"/>
        <w:numPr>
          <w:ilvl w:val="0"/>
          <w:numId w:val="1013"/>
        </w:numPr>
      </w:pPr>
      <w:r>
        <w:t xml:space="preserve">Higher inpatient or outpatient utilization as claims mature.</w:t>
      </w:r>
    </w:p>
    <w:p>
      <w:pPr>
        <w:pStyle w:val="Compact"/>
        <w:numPr>
          <w:ilvl w:val="0"/>
          <w:numId w:val="1013"/>
        </w:numPr>
      </w:pPr>
      <w:r>
        <w:t xml:space="preserve">Reduced confidence in the 92.75% full-year Insurance benefit-ratio guide.</w:t>
      </w:r>
    </w:p>
    <w:p>
      <w:pPr>
        <w:pStyle w:val="Compact"/>
        <w:numPr>
          <w:ilvl w:val="0"/>
          <w:numId w:val="1013"/>
        </w:numPr>
      </w:pPr>
      <w:r>
        <w:t xml:space="preserve">2027 benefit reductions appear likely to cause significant membership losses.</w:t>
      </w:r>
    </w:p>
    <w:p>
      <w:pPr>
        <w:pStyle w:val="Compact"/>
        <w:numPr>
          <w:ilvl w:val="0"/>
          <w:numId w:val="1013"/>
        </w:numPr>
      </w:pPr>
      <w:r>
        <w:t xml:space="preserve">Stars progress is described less confidently.</w:t>
      </w:r>
    </w:p>
    <w:p>
      <w:pPr>
        <w:pStyle w:val="Compact"/>
        <w:numPr>
          <w:ilvl w:val="0"/>
          <w:numId w:val="1013"/>
        </w:numPr>
      </w:pPr>
      <w:r>
        <w:t xml:space="preserve">CenterWell Q1 pressures persist.</w:t>
      </w:r>
    </w:p>
    <w:p>
      <w:pPr>
        <w:pStyle w:val="Compact"/>
        <w:numPr>
          <w:ilvl w:val="0"/>
          <w:numId w:val="1013"/>
        </w:numPr>
      </w:pPr>
      <w:r>
        <w:t xml:space="preserve">Additional capital needs limit financial flexibility.</w:t>
      </w:r>
    </w:p>
    <w:p>
      <w:pPr>
        <w:pStyle w:val="FirstParagraph"/>
      </w:pPr>
      <w:r>
        <w:t xml:space="preserve">Given the stock’s rebound, even a guidance reaffirmation could be received poorly if it is accompanied by weaker underlying medical-cost commentary.</w:t>
      </w:r>
    </w:p>
    <w:p>
      <w:r>
        <w:pict>
          <v:rect style="width:0;height:1.5pt" o:hralign="center" o:hrstd="t" o:hr="t"/>
        </w:pict>
      </w:r>
    </w:p>
    <w:bookmarkEnd w:id="30"/>
    <w:bookmarkEnd w:id="31"/>
    <w:bookmarkStart w:id="32" w:name="questions-investors-should-want-answered"/>
    <w:p>
      <w:pPr>
        <w:pStyle w:val="Heading2"/>
      </w:pPr>
      <w:r>
        <w:t xml:space="preserve">Questions investors should want answered</w:t>
      </w:r>
    </w:p>
    <w:p>
      <w:pPr>
        <w:pStyle w:val="Compact"/>
        <w:numPr>
          <w:ilvl w:val="0"/>
          <w:numId w:val="1014"/>
        </w:numPr>
      </w:pPr>
      <w:r>
        <w:rPr>
          <w:b/>
          <w:bCs/>
        </w:rPr>
        <w:t xml:space="preserve">How did completed Q2 claims compare with the leading indicators discussed in April?</w:t>
      </w:r>
    </w:p>
    <w:p>
      <w:pPr>
        <w:pStyle w:val="Compact"/>
        <w:numPr>
          <w:ilvl w:val="0"/>
          <w:numId w:val="1014"/>
        </w:numPr>
      </w:pPr>
      <w:r>
        <w:rPr>
          <w:b/>
          <w:bCs/>
        </w:rPr>
        <w:t xml:space="preserve">Is medical-cost favorability broad-based or concentrated in prior-period development?</w:t>
      </w:r>
    </w:p>
    <w:p>
      <w:pPr>
        <w:pStyle w:val="Compact"/>
        <w:numPr>
          <w:ilvl w:val="0"/>
          <w:numId w:val="1014"/>
        </w:numPr>
      </w:pPr>
      <w:r>
        <w:rPr>
          <w:b/>
          <w:bCs/>
        </w:rPr>
        <w:t xml:space="preserve">How does the new-member cohort compare with retained members after six months of claims?</w:t>
      </w:r>
    </w:p>
    <w:p>
      <w:pPr>
        <w:pStyle w:val="Compact"/>
        <w:numPr>
          <w:ilvl w:val="0"/>
          <w:numId w:val="1014"/>
        </w:numPr>
      </w:pPr>
      <w:r>
        <w:rPr>
          <w:b/>
          <w:bCs/>
        </w:rPr>
        <w:t xml:space="preserve">What margin improvement is embedded in the submitted 2027 bids?</w:t>
      </w:r>
    </w:p>
    <w:p>
      <w:pPr>
        <w:pStyle w:val="Compact"/>
        <w:numPr>
          <w:ilvl w:val="0"/>
          <w:numId w:val="1014"/>
        </w:numPr>
      </w:pPr>
      <w:r>
        <w:rPr>
          <w:b/>
          <w:bCs/>
        </w:rPr>
        <w:t xml:space="preserve">What degree of member attrition is expected from 2027 benefit and geographic changes?</w:t>
      </w:r>
    </w:p>
    <w:p>
      <w:pPr>
        <w:pStyle w:val="Compact"/>
        <w:numPr>
          <w:ilvl w:val="0"/>
          <w:numId w:val="1014"/>
        </w:numPr>
      </w:pPr>
      <w:r>
        <w:rPr>
          <w:b/>
          <w:bCs/>
        </w:rPr>
        <w:t xml:space="preserve">Which internal Stars measures improved, and which remain below target?</w:t>
      </w:r>
    </w:p>
    <w:p>
      <w:pPr>
        <w:pStyle w:val="Compact"/>
        <w:numPr>
          <w:ilvl w:val="0"/>
          <w:numId w:val="1014"/>
        </w:numPr>
      </w:pPr>
      <w:r>
        <w:rPr>
          <w:b/>
          <w:bCs/>
        </w:rPr>
        <w:t xml:space="preserve">Did CenterWell’s Q1 profitability headwinds begin to reverse in Q2?</w:t>
      </w:r>
    </w:p>
    <w:p>
      <w:pPr>
        <w:pStyle w:val="Compact"/>
        <w:numPr>
          <w:ilvl w:val="0"/>
          <w:numId w:val="1014"/>
        </w:numPr>
      </w:pPr>
      <w:r>
        <w:rPr>
          <w:b/>
          <w:bCs/>
        </w:rPr>
        <w:t xml:space="preserve">How will the $900 million Gentiva proceeds affect debt, acquisitions and Welsh Carson obligations?</w:t>
      </w:r>
    </w:p>
    <w:p>
      <w:pPr>
        <w:pStyle w:val="Compact"/>
        <w:numPr>
          <w:ilvl w:val="0"/>
          <w:numId w:val="1014"/>
        </w:numPr>
      </w:pPr>
      <w:r>
        <w:rPr>
          <w:b/>
          <w:bCs/>
        </w:rPr>
        <w:t xml:space="preserve">Has the probability of reaching at least a 3% individual MA margin in 2028 increased or decreased since Q1?</w:t>
      </w:r>
    </w:p>
    <w:bookmarkEnd w:id="32"/>
    <w:bookmarkStart w:id="33" w:name="investment-takeaway"/>
    <w:p>
      <w:pPr>
        <w:pStyle w:val="Heading2"/>
      </w:pPr>
      <w:r>
        <w:t xml:space="preserve">Investment takeaway</w:t>
      </w:r>
    </w:p>
    <w:p>
      <w:pPr>
        <w:pStyle w:val="FirstParagraph"/>
      </w:pPr>
      <w:r>
        <w:t xml:space="preserve">The setup is constructive but demanding. Favorable peer results and Humana’s Q1 indicators suggest a reasonable chance of an in-line or better medical-cost report. However, the stock has moved from pricing a severe earnings impairment to pricing a credible multiyear recovery.</w:t>
      </w:r>
    </w:p>
    <w:p>
      <w:pPr>
        <w:pStyle w:val="BodyText"/>
      </w:pPr>
      <w:r>
        <w:t xml:space="preserve">The most important signal will not be whether adjusted EPS beats $7.22 by a few cents. It will be whether Q2 provides convincing evidence that</w:t>
      </w:r>
      <w:r>
        <w:t xml:space="preserve"> </w:t>
      </w:r>
      <w:r>
        <w:rPr>
          <w:b/>
          <w:bCs/>
        </w:rPr>
        <w:t xml:space="preserve">Humana can absorb its rapid membership growth, protect 2026 guidance, expand margins through the 2027 bid cycle and restore Stars-driven earnings power by 2028</w:t>
      </w:r>
      <w:r>
        <w:t xml:space="preserv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humana.gcs-web.com/analyst-coverage/earnings-estimates" TargetMode="External" /><Relationship Type="http://schemas.openxmlformats.org/officeDocument/2006/relationships/hyperlink" Id="rId9" Target="https://humana.gcs-web.com/news-releases/news-release-details/humana-inc-release-second-quarter-2026-results-july-29-2026?utm_source=openai" TargetMode="External" /><Relationship Type="http://schemas.openxmlformats.org/officeDocument/2006/relationships/hyperlink" Id="rId26" Target="https://humana.gcs-web.com/static-files/151ed6d6-a25d-4019-b733-1520d56131ed" TargetMode="External" /><Relationship Type="http://schemas.openxmlformats.org/officeDocument/2006/relationships/hyperlink" Id="rId25" Target="https://humana.gcs-web.com/static-files/2ef560fc-8ccf-4f8c-b943-07501ce422cd" TargetMode="External" /><Relationship Type="http://schemas.openxmlformats.org/officeDocument/2006/relationships/hyperlink" Id="rId19" Target="https://investors.centene.com/2026-07-28-CENTENE-CORPORATION-REPORTS-SECOND-QUARTER-2026-RESULTS?utm_source=openai" TargetMode="External" /><Relationship Type="http://schemas.openxmlformats.org/officeDocument/2006/relationships/hyperlink" Id="rId13" Target="https://policy.humana.com/news-and-resources/news-press/2026/humana-reports-first-quarter-2026-financial-results--affirms-ful?utm_source=openai" TargetMode="External" /><Relationship Type="http://schemas.openxmlformats.org/officeDocument/2006/relationships/hyperlink" Id="rId10" Target="https://www.investing.com/equities/humana-inc-earnings" TargetMode="External" /><Relationship Type="http://schemas.openxmlformats.org/officeDocument/2006/relationships/hyperlink" Id="rId17" Target="https://www.sahmcapital.com/news/content/update-1-unitedhealth-raises-2026-forecast-as-it-controls-medical-costs-2026-07-16?utm_source=openai" TargetMode="External" /><Relationship Type="http://schemas.openxmlformats.org/officeDocument/2006/relationships/hyperlink" Id="rId18" Target="https://www.sec.gov/Archives/edgar/data/1156039/000115603926000058/a2q2026elvearningsrelease.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humana.gcs-web.com/analyst-coverage/earnings-estimates" TargetMode="External" /><Relationship Type="http://schemas.openxmlformats.org/officeDocument/2006/relationships/hyperlink" Id="rId9" Target="https://humana.gcs-web.com/news-releases/news-release-details/humana-inc-release-second-quarter-2026-results-july-29-2026?utm_source=openai" TargetMode="External" /><Relationship Type="http://schemas.openxmlformats.org/officeDocument/2006/relationships/hyperlink" Id="rId26" Target="https://humana.gcs-web.com/static-files/151ed6d6-a25d-4019-b733-1520d56131ed" TargetMode="External" /><Relationship Type="http://schemas.openxmlformats.org/officeDocument/2006/relationships/hyperlink" Id="rId25" Target="https://humana.gcs-web.com/static-files/2ef560fc-8ccf-4f8c-b943-07501ce422cd" TargetMode="External" /><Relationship Type="http://schemas.openxmlformats.org/officeDocument/2006/relationships/hyperlink" Id="rId19" Target="https://investors.centene.com/2026-07-28-CENTENE-CORPORATION-REPORTS-SECOND-QUARTER-2026-RESULTS?utm_source=openai" TargetMode="External" /><Relationship Type="http://schemas.openxmlformats.org/officeDocument/2006/relationships/hyperlink" Id="rId13" Target="https://policy.humana.com/news-and-resources/news-press/2026/humana-reports-first-quarter-2026-financial-results--affirms-ful?utm_source=openai" TargetMode="External" /><Relationship Type="http://schemas.openxmlformats.org/officeDocument/2006/relationships/hyperlink" Id="rId10" Target="https://www.investing.com/equities/humana-inc-earnings" TargetMode="External" /><Relationship Type="http://schemas.openxmlformats.org/officeDocument/2006/relationships/hyperlink" Id="rId17" Target="https://www.sahmcapital.com/news/content/update-1-unitedhealth-raises-2026-forecast-as-it-controls-medical-costs-2026-07-16?utm_source=openai" TargetMode="External" /><Relationship Type="http://schemas.openxmlformats.org/officeDocument/2006/relationships/hyperlink" Id="rId18" Target="https://www.sec.gov/Archives/edgar/data/1156039/000115603926000058/a2q2026elvearningsrelease.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2026-07-29T00:09:48Z</dcterms:created>
  <dcterms:modified xsi:type="dcterms:W3CDTF">2026-07-29T00:09:48Z</dcterms:modified>
</cp:coreProperties>
</file>

<file path=docProps/custom.xml><?xml version="1.0" encoding="utf-8"?>
<Properties xmlns="http://schemas.openxmlformats.org/officeDocument/2006/custom-properties" xmlns:vt="http://schemas.openxmlformats.org/officeDocument/2006/docPropsVTypes"/>
</file>