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m-earnings-predictions--2026-07-29"/>
    <w:p>
      <w:pPr>
        <w:pStyle w:val="Heading1"/>
      </w:pPr>
      <w:r>
        <w:t xml:space="preserve">HUM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~$6.55 vs. cons $6.30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Insurance benefit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~91.15% vs. cons 91.25%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CenterWell adjusted income from operations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~$385M vs. cons $360M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~$9.00 vs. cons $9.45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Insurance benefit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~92.75% vs. cons 92.70%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individual Medicare Advantage membership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~25.0% vs. cons 24.0%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Bonus Year 2028 Stars positioning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~top-quartile target vs. cons ~top-quartile target (BY2028)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A clean benefit-ratio print and EPS beat should drive an initial relief rally, but a reaffirmed ~</w:t>
            </w:r>
            <m:oMath>
              <m:r>
                <m:t>9.00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f</m:t>
              </m:r>
              <m:r>
                <m:t>l</m:t>
              </m:r>
              <m:r>
                <m:t>o</m:t>
              </m:r>
              <m:r>
                <m:t>o</m:t>
              </m:r>
              <m:r>
                <m:t>r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 </m:t>
              </m:r>
            </m:oMath>
            <w:r>
              <w:t xml:space="preserve">9.45 consensus and preserves uncertainty around 2027 benefit cuts, retention, and Stars/TBC math. That out-period estimate pressure should limit follow-through after the first-day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2026-07-29T00:08:09Z</dcterms:created>
  <dcterms:modified xsi:type="dcterms:W3CDTF">2026-07-29T00:08:09Z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