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humana-nyse-hum--2q26-earnings-preview"/>
    <w:p>
      <w:pPr>
        <w:pStyle w:val="Heading1"/>
      </w:pPr>
      <w:r>
        <w:t xml:space="preserve">Humana (NYSE: HUM) — 2Q26 Earnings Preview</w:t>
      </w:r>
    </w:p>
    <w:p>
      <w:pPr>
        <w:pStyle w:val="FirstParagraph"/>
      </w:pPr>
      <w:r>
        <w:rPr>
          <w:b/>
          <w:bCs/>
        </w:rPr>
        <w:t xml:space="preserve">Event:</w:t>
      </w:r>
      <w:r>
        <w:t xml:space="preserve"> </w:t>
      </w:r>
      <w:r>
        <w:t xml:space="preserve">Humana reports</w:t>
      </w:r>
      <w:r>
        <w:t xml:space="preserve"> </w:t>
      </w:r>
      <w:r>
        <w:rPr>
          <w:b/>
          <w:bCs/>
        </w:rPr>
        <w:t xml:space="preserve">Wednesday, July 29, 2026</w:t>
      </w:r>
      <w:r>
        <w:t xml:space="preserve">, with results scheduled for</w:t>
      </w:r>
      <w:r>
        <w:t xml:space="preserve"> </w:t>
      </w:r>
      <w:r>
        <w:rPr>
          <w:b/>
          <w:bCs/>
        </w:rPr>
        <w:t xml:space="preserve">6:00 a.m. ET</w:t>
      </w:r>
      <w:r>
        <w:t xml:space="preserve"> </w:t>
      </w:r>
      <w:r>
        <w:t xml:space="preserve">and an analyst Q&amp;A at</w:t>
      </w:r>
      <w:r>
        <w:t xml:space="preserve"> </w:t>
      </w:r>
      <w:r>
        <w:rPr>
          <w:b/>
          <w:bCs/>
        </w:rPr>
        <w:t xml:space="preserve">8:00 a.m. ET</w:t>
      </w:r>
      <w:r>
        <w:t xml:space="preserve">. (</w:t>
      </w:r>
      <w:hyperlink r:id="rId9">
        <w:r>
          <w:rPr>
            <w:rStyle w:val="Hyperlink"/>
          </w:rPr>
          <w:t xml:space="preserve">humana.gcs-web.com</w:t>
        </w:r>
      </w:hyperlink>
      <w:r>
        <w:t xml:space="preserve">)</w:t>
      </w:r>
    </w:p>
    <w:bookmarkStart w:id="10" w:name="X63194b800d517475256df8bb63313087d6b7f9a"/>
    <w:p>
      <w:pPr>
        <w:pStyle w:val="Heading2"/>
      </w:pPr>
      <w:r>
        <w:t xml:space="preserve">Investment view: this is a medical-cost-trend and 2027-margin-setup report, not just an EPS event</w:t>
      </w:r>
    </w:p>
    <w:p>
      <w:pPr>
        <w:pStyle w:val="FirstParagraph"/>
      </w:pPr>
      <w:r>
        <w:t xml:space="preserve">Humana enters 2Q with a much improved narrative: first-quarter performance came in at the high end of management’s expectations, early utilization indicators were favorable, and management reaffirmed 2026 guidance. But the stock’s sharp rerating means investors now need confirmation that the improvement is durable—especially across the large 2026 Medicare Advantage (MA) new-member cohort—and that management can improve 2027 margins despite an unfavorable funding-versus-medical-trend backdrop.</w:t>
      </w:r>
    </w:p>
    <w:p>
      <w:pPr>
        <w:pStyle w:val="BodyText"/>
      </w:pPr>
      <w:r>
        <w:t xml:space="preserve">The central question is straightforward:</w:t>
      </w:r>
    </w:p>
    <w:p>
      <w:pPr>
        <w:pStyle w:val="BlockText"/>
      </w:pPr>
      <w:r>
        <w:rPr>
          <w:b/>
          <w:bCs/>
        </w:rPr>
        <w:t xml:space="preserve">Did claims experience through June support Humana’s full-year medical-cost assumptions, or is Q1’s clean start still too early to underwrite?</w:t>
      </w:r>
    </w:p>
    <w:p>
      <w:pPr>
        <w:pStyle w:val="FirstParagraph"/>
      </w:pPr>
      <w:r>
        <w:t xml:space="preserve">A clean answer should support the thesis that Humana is executing its path toward normalized MA profitability by 2028. A deterioration in benefit ratio, adverse reserve commentary, or a more cautious outlook on the new-member cohort would matter more than a modest EPS beat/miss.</w:t>
      </w:r>
    </w:p>
    <w:p>
      <w:r>
        <w:pict>
          <v:rect style="width:0;height:1.5pt" o:hralign="center" o:hrstd="t" o:hr="t"/>
        </w:pict>
      </w:r>
    </w:p>
    <w:bookmarkEnd w:id="10"/>
    <w:bookmarkStart w:id="13" w:name="the-setup"/>
    <w:p>
      <w:pPr>
        <w:pStyle w:val="Heading2"/>
      </w:pPr>
      <w:r>
        <w:t xml:space="preserve">The setup</w:t>
      </w:r>
    </w:p>
    <w:p>
      <w:pPr>
        <w:pStyle w:val="FirstParagraph"/>
      </w:pPr>
      <w:r>
        <w:t xml:space="preserve">Humana reported a solid 1Q26: adjusted EPS was</w:t>
      </w:r>
      <w:r>
        <w:t xml:space="preserve"> </w:t>
      </w:r>
      <w:r>
        <w:rPr>
          <w:b/>
          <w:bCs/>
        </w:rPr>
        <w:t xml:space="preserve">$10.31</w:t>
      </w:r>
      <w:r>
        <w:t xml:space="preserve">, Insurance benefit ratio was</w:t>
      </w:r>
      <w:r>
        <w:t xml:space="preserve"> </w:t>
      </w:r>
      <w:r>
        <w:rPr>
          <w:b/>
          <w:bCs/>
        </w:rPr>
        <w:t xml:space="preserve">89.4%</w:t>
      </w:r>
      <w:r>
        <w:t xml:space="preserve">, and the company reaffirmed its full-year adjusted EPS floor of</w:t>
      </w:r>
      <w:r>
        <w:t xml:space="preserve"> </w:t>
      </w:r>
      <w:r>
        <w:rPr>
          <w:b/>
          <w:bCs/>
        </w:rPr>
        <w:t xml:space="preserve">at least $9.00</w:t>
      </w:r>
      <w:r>
        <w:t xml:space="preserve">, full-year Insurance benefit-ratio guidance of</w:t>
      </w:r>
      <w:r>
        <w:t xml:space="preserve"> </w:t>
      </w:r>
      <w:r>
        <w:rPr>
          <w:b/>
          <w:bCs/>
        </w:rPr>
        <w:t xml:space="preserve">92.75% ±25 bps</w:t>
      </w:r>
      <w:r>
        <w:t xml:space="preserve">, and approximately</w:t>
      </w:r>
      <w:r>
        <w:t xml:space="preserve"> </w:t>
      </w:r>
      <w:r>
        <w:rPr>
          <w:b/>
          <w:bCs/>
        </w:rPr>
        <w:t xml:space="preserve">25%</w:t>
      </w:r>
      <w:r>
        <w:t xml:space="preserve"> </w:t>
      </w:r>
      <w:r>
        <w:t xml:space="preserve">individual MA membership growth. (</w:t>
      </w:r>
      <w:hyperlink r:id="rId11">
        <w:r>
          <w:rPr>
            <w:rStyle w:val="Hyperlink"/>
          </w:rPr>
          <w:t xml:space="preserve">humana.gcs-web.com</w:t>
        </w:r>
      </w:hyperlink>
      <w:r>
        <w:t xml:space="preserve">)</w:t>
      </w:r>
    </w:p>
    <w:p>
      <w:pPr>
        <w:pStyle w:val="BodyText"/>
      </w:pPr>
      <w:r>
        <w:t xml:space="preserve">The favorable Q1 headline needs context:</w:t>
      </w:r>
    </w:p>
    <w:p>
      <w:pPr>
        <w:pStyle w:val="Compact"/>
        <w:numPr>
          <w:ilvl w:val="0"/>
          <w:numId w:val="1001"/>
        </w:numPr>
      </w:pPr>
      <w:r>
        <w:t xml:space="preserve">Consolidated revenue rose</w:t>
      </w:r>
      <w:r>
        <w:t xml:space="preserve"> </w:t>
      </w:r>
      <w:r>
        <w:rPr>
          <w:b/>
          <w:bCs/>
        </w:rPr>
        <w:t xml:space="preserve">23.5% year over year</w:t>
      </w:r>
      <w:r>
        <w:t xml:space="preserve"> </w:t>
      </w:r>
      <w:r>
        <w:t xml:space="preserve">to</w:t>
      </w:r>
      <w:r>
        <w:t xml:space="preserve"> </w:t>
      </w:r>
      <w:r>
        <w:rPr>
          <w:b/>
          <w:bCs/>
        </w:rPr>
        <w:t xml:space="preserve">$39.6 billion</w:t>
      </w:r>
      <w:r>
        <w:t xml:space="preserve">, driven largely by Medicare membership and premium growth.</w:t>
      </w:r>
    </w:p>
    <w:p>
      <w:pPr>
        <w:pStyle w:val="Compact"/>
        <w:numPr>
          <w:ilvl w:val="0"/>
          <w:numId w:val="1001"/>
        </w:numPr>
      </w:pPr>
      <w:r>
        <w:t xml:space="preserve">Benefits expense grew</w:t>
      </w:r>
      <w:r>
        <w:t xml:space="preserve"> </w:t>
      </w:r>
      <w:r>
        <w:rPr>
          <w:b/>
          <w:bCs/>
        </w:rPr>
        <w:t xml:space="preserve">27.0%</w:t>
      </w:r>
      <w:r>
        <w:t xml:space="preserve">, faster than revenue, and the benefit ratio increased</w:t>
      </w:r>
      <w:r>
        <w:t xml:space="preserve"> </w:t>
      </w:r>
      <w:r>
        <w:rPr>
          <w:b/>
          <w:bCs/>
        </w:rPr>
        <w:t xml:space="preserve">240 bps</w:t>
      </w:r>
      <w:r>
        <w:t xml:space="preserve"> </w:t>
      </w:r>
      <w:r>
        <w:t xml:space="preserve">year over year to 89.4%.</w:t>
      </w:r>
    </w:p>
    <w:p>
      <w:pPr>
        <w:pStyle w:val="Compact"/>
        <w:numPr>
          <w:ilvl w:val="0"/>
          <w:numId w:val="1001"/>
        </w:numPr>
      </w:pPr>
      <w:r>
        <w:t xml:space="preserve">Individual MA membership reached</w:t>
      </w:r>
      <w:r>
        <w:t xml:space="preserve"> </w:t>
      </w:r>
      <w:r>
        <w:rPr>
          <w:b/>
          <w:bCs/>
        </w:rPr>
        <w:t xml:space="preserve">6.39 million</w:t>
      </w:r>
      <w:r>
        <w:t xml:space="preserve"> </w:t>
      </w:r>
      <w:r>
        <w:t xml:space="preserve">at March 31, up</w:t>
      </w:r>
      <w:r>
        <w:t xml:space="preserve"> </w:t>
      </w:r>
      <w:r>
        <w:rPr>
          <w:b/>
          <w:bCs/>
        </w:rPr>
        <w:t xml:space="preserve">22.6%</w:t>
      </w:r>
      <w:r>
        <w:t xml:space="preserve"> </w:t>
      </w:r>
      <w:r>
        <w:t xml:space="preserve">year over year.</w:t>
      </w:r>
    </w:p>
    <w:p>
      <w:pPr>
        <w:pStyle w:val="Compact"/>
        <w:numPr>
          <w:ilvl w:val="0"/>
          <w:numId w:val="1001"/>
        </w:numPr>
      </w:pPr>
      <w:r>
        <w:t xml:space="preserve">Management noted that new members naturally carry a higher benefit ratio than retained members, making the full second-quarter claims run-rate especially important.</w:t>
      </w:r>
    </w:p>
    <w:p>
      <w:pPr>
        <w:pStyle w:val="Compact"/>
        <w:numPr>
          <w:ilvl w:val="0"/>
          <w:numId w:val="1001"/>
        </w:numPr>
      </w:pPr>
      <w:r>
        <w:t xml:space="preserve">Q1 also included</w:t>
      </w:r>
      <w:r>
        <w:t xml:space="preserve"> </w:t>
      </w:r>
      <w:r>
        <w:rPr>
          <w:b/>
          <w:bCs/>
        </w:rPr>
        <w:t xml:space="preserve">$389 million</w:t>
      </w:r>
      <w:r>
        <w:t xml:space="preserve"> </w:t>
      </w:r>
      <w:r>
        <w:t xml:space="preserve">of favorable prior-period medical-claims reserve development, versus $477 million a year earlier. Investors should focus on underlying claims trends and reserve posture rather than treating the reported benefit ratio in isolation.</w:t>
      </w:r>
    </w:p>
    <w:p>
      <w:pPr>
        <w:pStyle w:val="FirstParagraph"/>
      </w:pPr>
      <w:r>
        <w:t xml:space="preserve">Management’s stated 2Q benefit-ratio expectation was</w:t>
      </w:r>
      <w:r>
        <w:t xml:space="preserve"> </w:t>
      </w:r>
      <w:r>
        <w:rPr>
          <w:b/>
          <w:bCs/>
        </w:rPr>
        <w:t xml:space="preserve">slightly above 91%</w:t>
      </w:r>
      <w:r>
        <w:t xml:space="preserve">. That makes the reported Insurance benefit ratio, reserve development, and commentary around June completion factors the key operating scorecard. (</w:t>
      </w:r>
      <w:hyperlink r:id="rId12">
        <w:r>
          <w:rPr>
            <w:rStyle w:val="Hyperlink"/>
          </w:rPr>
          <w:t xml:space="preserve">humana.gcs-web.com</w:t>
        </w:r>
      </w:hyperlink>
      <w:r>
        <w:t xml:space="preserve">)</w:t>
      </w:r>
    </w:p>
    <w:p>
      <w:r>
        <w:pict>
          <v:rect style="width:0;height:1.5pt" o:hralign="center" o:hrstd="t" o:hr="t"/>
        </w:pict>
      </w:r>
    </w:p>
    <w:bookmarkEnd w:id="13"/>
    <w:bookmarkStart w:id="19" w:name="what-matters-most-on-july-29"/>
    <w:p>
      <w:pPr>
        <w:pStyle w:val="Heading2"/>
      </w:pPr>
      <w:r>
        <w:t xml:space="preserve">What matters most on July 29</w:t>
      </w:r>
    </w:p>
    <w:bookmarkStart w:id="14" w:name="Xc8727c28d09d1499b93bbe103e7ae0f1874a16b"/>
    <w:p>
      <w:pPr>
        <w:pStyle w:val="Heading3"/>
      </w:pPr>
      <w:r>
        <w:t xml:space="preserve">1. Insurance benefit ratio: the most important number</w:t>
      </w:r>
    </w:p>
    <w:p>
      <w:pPr>
        <w:pStyle w:val="FirstParagraph"/>
      </w:pPr>
      <w:r>
        <w:t xml:space="preserve">Humana’s Q1 management commentary was optimistic: risk scores, admissions, pharmacy claims, and early medical claims for both new and existing MA members were tracking in line with or better than expectations through April. Management also said it was strengthening anomaly detection and claims monitoring. (</w:t>
      </w:r>
      <w:hyperlink r:id="rId12">
        <w:r>
          <w:rPr>
            <w:rStyle w:val="Hyperlink"/>
          </w:rPr>
          <w:t xml:space="preserve">humana.gcs-web.com</w:t>
        </w:r>
      </w:hyperlink>
      <w:r>
        <w:t xml:space="preserve">)</w:t>
      </w:r>
    </w:p>
    <w:p>
      <w:pPr>
        <w:pStyle w:val="BodyText"/>
      </w:pPr>
      <w:r>
        <w:rPr>
          <w:b/>
          <w:bCs/>
        </w:rPr>
        <w:t xml:space="preserve">What investors should want to hear:</w:t>
      </w:r>
    </w:p>
    <w:p>
      <w:pPr>
        <w:pStyle w:val="Compact"/>
        <w:numPr>
          <w:ilvl w:val="0"/>
          <w:numId w:val="1002"/>
        </w:numPr>
      </w:pPr>
      <w:r>
        <w:t xml:space="preserve">Reported 2Q Insurance benefit ratio at or better than the “slightly above 91%” framework.</w:t>
      </w:r>
    </w:p>
    <w:p>
      <w:pPr>
        <w:pStyle w:val="Compact"/>
        <w:numPr>
          <w:ilvl w:val="0"/>
          <w:numId w:val="1002"/>
        </w:numPr>
      </w:pPr>
      <w:r>
        <w:t xml:space="preserve">Confirmation that June claims completion did not reveal unfavorable utilization.</w:t>
      </w:r>
    </w:p>
    <w:p>
      <w:pPr>
        <w:pStyle w:val="Compact"/>
        <w:numPr>
          <w:ilvl w:val="0"/>
          <w:numId w:val="1002"/>
        </w:numPr>
      </w:pPr>
      <w:r>
        <w:t xml:space="preserve">Continued evidence that the large new-member cohort is developing as priced.</w:t>
      </w:r>
    </w:p>
    <w:p>
      <w:pPr>
        <w:pStyle w:val="Compact"/>
        <w:numPr>
          <w:ilvl w:val="0"/>
          <w:numId w:val="1002"/>
        </w:numPr>
      </w:pPr>
      <w:r>
        <w:t xml:space="preserve">Stable medical-cost trend, especially in inpatient admissions, outpatient intensity, pharmacy, and regional/provider hotspots.</w:t>
      </w:r>
    </w:p>
    <w:p>
      <w:pPr>
        <w:pStyle w:val="Compact"/>
        <w:numPr>
          <w:ilvl w:val="0"/>
          <w:numId w:val="1002"/>
        </w:numPr>
      </w:pPr>
      <w:r>
        <w:t xml:space="preserve">No need for materially more conservative reserves or elevated incurred-but-not-reported (IBNR) provisioning.</w:t>
      </w:r>
    </w:p>
    <w:p>
      <w:pPr>
        <w:pStyle w:val="FirstParagraph"/>
      </w:pPr>
      <w:r>
        <w:rPr>
          <w:b/>
          <w:bCs/>
        </w:rPr>
        <w:t xml:space="preserve">Why it matters:</w:t>
      </w:r>
      <w:r>
        <w:t xml:space="preserve"> </w:t>
      </w:r>
      <w:r>
        <w:t xml:space="preserve">Q2 is the first period with enough claims maturity to give investors substantially greater confidence in the 2026 earnings outlook. Management itself emphasized in Q1 that every additional month narrows the range of possible full-year outcomes, while acknowledging that the end of the second quarter would be a more meaningful checkpoint. (</w:t>
      </w:r>
      <w:hyperlink r:id="rId12">
        <w:r>
          <w:rPr>
            <w:rStyle w:val="Hyperlink"/>
          </w:rPr>
          <w:t xml:space="preserve">humana.gcs-web.com</w:t>
        </w:r>
      </w:hyperlink>
      <w:r>
        <w:t xml:space="preserve">)</w:t>
      </w:r>
    </w:p>
    <w:bookmarkEnd w:id="14"/>
    <w:bookmarkStart w:id="15" w:name="X8032f68d2912ea2c631ffeee8c453de864f0a7a"/>
    <w:p>
      <w:pPr>
        <w:pStyle w:val="Heading3"/>
      </w:pPr>
      <w:r>
        <w:t xml:space="preserve">2. Full-year guidance: reaffirmation is the base case; the quality of reaffirmation matters</w:t>
      </w:r>
    </w:p>
    <w:p>
      <w:pPr>
        <w:pStyle w:val="FirstParagraph"/>
      </w:pPr>
      <w:r>
        <w:t xml:space="preserve">The critical outcome is a reiteration of:</w:t>
      </w:r>
    </w:p>
    <w:p>
      <w:pPr>
        <w:pStyle w:val="Compact"/>
        <w:numPr>
          <w:ilvl w:val="0"/>
          <w:numId w:val="1003"/>
        </w:numPr>
      </w:pPr>
      <w:r>
        <w:rPr>
          <w:b/>
          <w:bCs/>
        </w:rPr>
        <w:t xml:space="preserve">Adjusted EPS of at least $9.00</w:t>
      </w:r>
    </w:p>
    <w:p>
      <w:pPr>
        <w:pStyle w:val="Compact"/>
        <w:numPr>
          <w:ilvl w:val="0"/>
          <w:numId w:val="1003"/>
        </w:numPr>
      </w:pPr>
      <w:r>
        <w:rPr>
          <w:b/>
          <w:bCs/>
        </w:rPr>
        <w:t xml:space="preserve">Insurance benefit ratio of 92.75% ±25 bps</w:t>
      </w:r>
    </w:p>
    <w:p>
      <w:pPr>
        <w:pStyle w:val="Compact"/>
        <w:numPr>
          <w:ilvl w:val="0"/>
          <w:numId w:val="1003"/>
        </w:numPr>
      </w:pPr>
      <w:r>
        <w:rPr>
          <w:b/>
          <w:bCs/>
        </w:rPr>
        <w:t xml:space="preserve">~25% individual MA growth</w:t>
      </w:r>
    </w:p>
    <w:p>
      <w:pPr>
        <w:pStyle w:val="FirstParagraph"/>
      </w:pPr>
      <w:r>
        <w:t xml:space="preserve">A guide raise would be constructive but is not necessary for a positive reaction, particularly if management is preserving prudence in claims reserves. Conversely, keeping the headline guide intact while signaling worsening utilization, incremental reserve caution, or an unfavorable second-half benefit-ratio trajectory would likely be interpreted negatively.</w:t>
      </w:r>
    </w:p>
    <w:p>
      <w:pPr>
        <w:pStyle w:val="BodyText"/>
      </w:pPr>
      <w:r>
        <w:t xml:space="preserve">The more valuable message would be:</w:t>
      </w:r>
      <w:r>
        <w:t xml:space="preserve"> </w:t>
      </w:r>
      <w:r>
        <w:rPr>
          <w:b/>
          <w:bCs/>
        </w:rPr>
        <w:t xml:space="preserve">guidance is intact because the operating data support it—not because Humana is relying on conservatism, timing, or favorable reserve development.</w:t>
      </w:r>
    </w:p>
    <w:bookmarkEnd w:id="15"/>
    <w:bookmarkStart w:id="16" w:name="Xa738663ba01c5e4fe58cb80f3d017d7f964f676"/>
    <w:p>
      <w:pPr>
        <w:pStyle w:val="Heading3"/>
      </w:pPr>
      <w:r>
        <w:t xml:space="preserve">3. Stars: this is the next major catalyst after earnings</w:t>
      </w:r>
    </w:p>
    <w:p>
      <w:pPr>
        <w:pStyle w:val="FirstParagraph"/>
      </w:pPr>
      <w:r>
        <w:t xml:space="preserve">Humana’s 2026 results still absorb a material Star Ratings headwind. The company has framed recovery in Star Ratings as a key component of returning to sustainable MA economics and has committed to update investors on its</w:t>
      </w:r>
      <w:r>
        <w:t xml:space="preserve"> </w:t>
      </w:r>
      <w:r>
        <w:rPr>
          <w:b/>
          <w:bCs/>
        </w:rPr>
        <w:t xml:space="preserve">Bonus Year 2028</w:t>
      </w:r>
      <w:r>
        <w:t xml:space="preserve"> </w:t>
      </w:r>
      <w:r>
        <w:t xml:space="preserve">Stars progress after the hybrid season concludes—making 2Q the natural venue for a more substantive update. (</w:t>
      </w:r>
      <w:hyperlink r:id="rId12">
        <w:r>
          <w:rPr>
            <w:rStyle w:val="Hyperlink"/>
          </w:rPr>
          <w:t xml:space="preserve">humana.gcs-web.com</w:t>
        </w:r>
      </w:hyperlink>
      <w:r>
        <w:t xml:space="preserve">)</w:t>
      </w:r>
    </w:p>
    <w:p>
      <w:pPr>
        <w:pStyle w:val="BodyText"/>
      </w:pPr>
      <w:r>
        <w:t xml:space="preserve">Management previously cited a roughly</w:t>
      </w:r>
      <w:r>
        <w:t xml:space="preserve"> </w:t>
      </w:r>
      <w:r>
        <w:rPr>
          <w:b/>
          <w:bCs/>
        </w:rPr>
        <w:t xml:space="preserve">5% lead versus the prior year in gap-closure pace per member</w:t>
      </w:r>
      <w:r>
        <w:t xml:space="preserve"> </w:t>
      </w:r>
      <w:r>
        <w:t xml:space="preserve">on certain key HEDIS measures, but it also cautioned that industry thresholds remain unknown. (</w:t>
      </w:r>
      <w:hyperlink r:id="rId12">
        <w:r>
          <w:rPr>
            <w:rStyle w:val="Hyperlink"/>
          </w:rPr>
          <w:t xml:space="preserve">humana.gcs-web.com</w:t>
        </w:r>
      </w:hyperlink>
      <w:r>
        <w:t xml:space="preserve">)</w:t>
      </w:r>
    </w:p>
    <w:p>
      <w:pPr>
        <w:pStyle w:val="BodyText"/>
      </w:pPr>
      <w:r>
        <w:rPr>
          <w:b/>
          <w:bCs/>
        </w:rPr>
        <w:t xml:space="preserve">Watch for:</w:t>
      </w:r>
    </w:p>
    <w:p>
      <w:pPr>
        <w:pStyle w:val="Compact"/>
        <w:numPr>
          <w:ilvl w:val="0"/>
          <w:numId w:val="1004"/>
        </w:numPr>
      </w:pPr>
      <w:r>
        <w:t xml:space="preserve">Confidence level around a return to top-quartile Stars performance.</w:t>
      </w:r>
    </w:p>
    <w:p>
      <w:pPr>
        <w:pStyle w:val="Compact"/>
        <w:numPr>
          <w:ilvl w:val="0"/>
          <w:numId w:val="1004"/>
        </w:numPr>
      </w:pPr>
      <w:r>
        <w:t xml:space="preserve">Any quantitative indicators on HEDIS, CAHPS/member experience, medication adherence, or gap closure.</w:t>
      </w:r>
    </w:p>
    <w:p>
      <w:pPr>
        <w:pStyle w:val="Compact"/>
        <w:numPr>
          <w:ilvl w:val="0"/>
          <w:numId w:val="1004"/>
        </w:numPr>
      </w:pPr>
      <w:r>
        <w:t xml:space="preserve">The degree to which management portrays the October 2026 ratings release as a potential earnings-power inflection point.</w:t>
      </w:r>
    </w:p>
    <w:p>
      <w:pPr>
        <w:pStyle w:val="Compact"/>
        <w:numPr>
          <w:ilvl w:val="0"/>
          <w:numId w:val="1004"/>
        </w:numPr>
      </w:pPr>
      <w:r>
        <w:t xml:space="preserve">Whether stronger Stars could create future benefit-design constraints through total-benefit-cost mechanics—an issue management has explicitly incorporated into multiyear bid planning. (</w:t>
      </w:r>
      <w:hyperlink r:id="rId12">
        <w:r>
          <w:rPr>
            <w:rStyle w:val="Hyperlink"/>
          </w:rPr>
          <w:t xml:space="preserve">humana.gcs-web.com</w:t>
        </w:r>
      </w:hyperlink>
      <w:r>
        <w:t xml:space="preserve">)</w:t>
      </w:r>
    </w:p>
    <w:bookmarkEnd w:id="16"/>
    <w:bookmarkStart w:id="17" w:name="X98035c72286ee67176503bc3893cf7dcb72fee6"/>
    <w:p>
      <w:pPr>
        <w:pStyle w:val="Heading3"/>
      </w:pPr>
      <w:r>
        <w:t xml:space="preserve">4. 2027 bids: margin protection versus retention and growth</w:t>
      </w:r>
    </w:p>
    <w:p>
      <w:pPr>
        <w:pStyle w:val="FirstParagraph"/>
      </w:pPr>
      <w:r>
        <w:t xml:space="preserve">Humana’s strategic message has become increasingly clear:</w:t>
      </w:r>
      <w:r>
        <w:t xml:space="preserve"> </w:t>
      </w:r>
      <w:r>
        <w:rPr>
          <w:b/>
          <w:bCs/>
        </w:rPr>
        <w:t xml:space="preserve">margin first, retention second, growth third.</w:t>
      </w:r>
      <w:r>
        <w:t xml:space="preserve"> </w:t>
      </w:r>
      <w:r>
        <w:t xml:space="preserve">Management has said that medical trend continues to outpace program funding and that it expects to adjust benefits and potentially geography to make progress toward a sustainable</w:t>
      </w:r>
      <w:r>
        <w:t xml:space="preserve"> </w:t>
      </w:r>
      <w:r>
        <w:rPr>
          <w:b/>
          <w:bCs/>
        </w:rPr>
        <w:t xml:space="preserve">at-least-3% MA margin in 2028</w:t>
      </w:r>
      <w:r>
        <w:t xml:space="preserve">. (</w:t>
      </w:r>
      <w:hyperlink r:id="rId12">
        <w:r>
          <w:rPr>
            <w:rStyle w:val="Hyperlink"/>
          </w:rPr>
          <w:t xml:space="preserve">humana.gcs-web.com</w:t>
        </w:r>
      </w:hyperlink>
      <w:r>
        <w:t xml:space="preserve">)</w:t>
      </w:r>
    </w:p>
    <w:p>
      <w:pPr>
        <w:pStyle w:val="BodyText"/>
      </w:pPr>
      <w:r>
        <w:t xml:space="preserve">That makes any color on 2027 plan design highly consequential. Investors should listen for:</w:t>
      </w:r>
    </w:p>
    <w:p>
      <w:pPr>
        <w:pStyle w:val="Compact"/>
        <w:numPr>
          <w:ilvl w:val="0"/>
          <w:numId w:val="1005"/>
        </w:numPr>
      </w:pPr>
      <w:r>
        <w:t xml:space="preserve">The scale of benefit reductions or market exits embedded in 2027 products.</w:t>
      </w:r>
    </w:p>
    <w:p>
      <w:pPr>
        <w:pStyle w:val="Compact"/>
        <w:numPr>
          <w:ilvl w:val="0"/>
          <w:numId w:val="1005"/>
        </w:numPr>
      </w:pPr>
      <w:r>
        <w:t xml:space="preserve">Expected retention consequences from those actions.</w:t>
      </w:r>
    </w:p>
    <w:p>
      <w:pPr>
        <w:pStyle w:val="Compact"/>
        <w:numPr>
          <w:ilvl w:val="0"/>
          <w:numId w:val="1005"/>
        </w:numPr>
      </w:pPr>
      <w:r>
        <w:t xml:space="preserve">Whether Humana is willing to sacrifice growth to protect economics.</w:t>
      </w:r>
    </w:p>
    <w:p>
      <w:pPr>
        <w:pStyle w:val="Compact"/>
        <w:numPr>
          <w:ilvl w:val="0"/>
          <w:numId w:val="1005"/>
        </w:numPr>
      </w:pPr>
      <w:r>
        <w:t xml:space="preserve">The extent to which operational savings, clinical initiatives, and pricing lessen the need for member-facing benefit cuts.</w:t>
      </w:r>
    </w:p>
    <w:p>
      <w:pPr>
        <w:pStyle w:val="Compact"/>
        <w:numPr>
          <w:ilvl w:val="0"/>
          <w:numId w:val="1005"/>
        </w:numPr>
      </w:pPr>
      <w:r>
        <w:t xml:space="preserve">Whether the 2027 funding gap is still described as larger than the 2026 gap.</w:t>
      </w:r>
    </w:p>
    <w:p>
      <w:pPr>
        <w:pStyle w:val="FirstParagraph"/>
      </w:pPr>
      <w:r>
        <w:t xml:space="preserve">The bullish interpretation is not necessarily that 2027 enrollment grows rapidly; it is that Humana can retain enough profitable membership while taking the actions needed to structurally improve margins.</w:t>
      </w:r>
    </w:p>
    <w:bookmarkEnd w:id="17"/>
    <w:bookmarkStart w:id="18" w:name="X499a42a3eca1eb4b9b97b801a3a83f37923cffa"/>
    <w:p>
      <w:pPr>
        <w:pStyle w:val="Heading3"/>
      </w:pPr>
      <w:r>
        <w:t xml:space="preserve">5. CenterWell: prove that 1Q pressure was temporary</w:t>
      </w:r>
    </w:p>
    <w:p>
      <w:pPr>
        <w:pStyle w:val="FirstParagraph"/>
      </w:pPr>
      <w:r>
        <w:t xml:space="preserve">CenterWell remains strategically important because it expands Humana’s care-delivery, pharmacy, primary-care, and home-health capabilities. However, 1Q segment income from operations fell</w:t>
      </w:r>
      <w:r>
        <w:t xml:space="preserve"> </w:t>
      </w:r>
      <w:r>
        <w:rPr>
          <w:b/>
          <w:bCs/>
        </w:rPr>
        <w:t xml:space="preserve">26.3%</w:t>
      </w:r>
      <w:r>
        <w:t xml:space="preserve"> </w:t>
      </w:r>
      <w:r>
        <w:t xml:space="preserve">year over year to</w:t>
      </w:r>
      <w:r>
        <w:t xml:space="preserve"> </w:t>
      </w:r>
      <w:r>
        <w:rPr>
          <w:b/>
          <w:bCs/>
        </w:rPr>
        <w:t xml:space="preserve">$289 million</w:t>
      </w:r>
      <w:r>
        <w:t xml:space="preserve">, while the operating-cost ratio rose to</w:t>
      </w:r>
      <w:r>
        <w:t xml:space="preserve"> </w:t>
      </w:r>
      <w:r>
        <w:rPr>
          <w:b/>
          <w:bCs/>
        </w:rPr>
        <w:t xml:space="preserve">94.5%</w:t>
      </w:r>
      <w:r>
        <w:t xml:space="preserve"> </w:t>
      </w:r>
      <w:r>
        <w:t xml:space="preserve">from 91.1%.</w:t>
      </w:r>
    </w:p>
    <w:p>
      <w:pPr>
        <w:pStyle w:val="BodyText"/>
      </w:pPr>
      <w:r>
        <w:t xml:space="preserve">Management attributed the pressure to items it expected to be nonrecurring or improve later in the year, including ACO REACH skin-substitute exposure, integration timing at The Villages Health, and MaxHealth transaction/integration costs. (</w:t>
      </w:r>
      <w:hyperlink r:id="rId12">
        <w:r>
          <w:rPr>
            <w:rStyle w:val="Hyperlink"/>
          </w:rPr>
          <w:t xml:space="preserve">humana.gcs-web.com</w:t>
        </w:r>
      </w:hyperlink>
      <w:r>
        <w:t xml:space="preserve">)</w:t>
      </w:r>
    </w:p>
    <w:p>
      <w:pPr>
        <w:pStyle w:val="BodyText"/>
      </w:pPr>
      <w:r>
        <w:rPr>
          <w:b/>
          <w:bCs/>
        </w:rPr>
        <w:t xml:space="preserve">A good 2Q result</w:t>
      </w:r>
      <w:r>
        <w:t xml:space="preserve"> </w:t>
      </w:r>
      <w:r>
        <w:t xml:space="preserve">would show sequential margin normalization while preserving growth in primary-care patients, pharmacy penetration, and payor-agnostic revenue. A second consecutive weak margin print would raise questions about the near-term earnings contribution from vertical integration.</w:t>
      </w:r>
    </w:p>
    <w:p>
      <w:r>
        <w:pict>
          <v:rect style="width:0;height:1.5pt" o:hralign="center" o:hrstd="t" o:hr="t"/>
        </w:pict>
      </w:r>
    </w:p>
    <w:bookmarkEnd w:id="18"/>
    <w:bookmarkEnd w:id="19"/>
    <w:bookmarkStart w:id="21" w:name="X1b9376342b2c1fb5530435bbc2c1e76cd6c2535"/>
    <w:p>
      <w:pPr>
        <w:pStyle w:val="Heading2"/>
      </w:pPr>
      <w:r>
        <w:t xml:space="preserve">Capital allocation and balance-sheet watch items</w:t>
      </w:r>
    </w:p>
    <w:p>
      <w:pPr>
        <w:pStyle w:val="FirstParagraph"/>
      </w:pPr>
      <w:r>
        <w:t xml:space="preserve">Humana’s capital story has improved but remains relevant given its investment needs, debt maturities, primary-care ambitions, and potential obligations related to its clinic partnership structure.</w:t>
      </w:r>
    </w:p>
    <w:p>
      <w:pPr>
        <w:pStyle w:val="BodyText"/>
      </w:pPr>
      <w:r>
        <w:t xml:space="preserve">Two items to monitor:</w:t>
      </w:r>
    </w:p>
    <w:p>
      <w:pPr>
        <w:numPr>
          <w:ilvl w:val="0"/>
          <w:numId w:val="1006"/>
        </w:numPr>
      </w:pPr>
      <w:r>
        <w:rPr>
          <w:b/>
          <w:bCs/>
        </w:rPr>
        <w:t xml:space="preserve">Gentiva divestiture:</w:t>
      </w:r>
      <w:r>
        <w:t xml:space="preserve"> </w:t>
      </w:r>
      <w:r>
        <w:t xml:space="preserve">Humana agreed in June to sell all or substantially all of its minority interest in Gentiva for approximately</w:t>
      </w:r>
      <w:r>
        <w:t xml:space="preserve"> </w:t>
      </w:r>
      <w:r>
        <w:rPr>
          <w:b/>
          <w:bCs/>
        </w:rPr>
        <w:t xml:space="preserve">$900 million</w:t>
      </w:r>
      <w:r>
        <w:t xml:space="preserve">. Closing is expected in 3Q26, and the company does not expect a material 2026 earnings impact. The proceeds provide incremental balance-sheet flexibility. (</w:t>
      </w:r>
      <w:hyperlink r:id="rId20">
        <w:r>
          <w:rPr>
            <w:rStyle w:val="Hyperlink"/>
          </w:rPr>
          <w:t xml:space="preserve">humana.gcs-web.com</w:t>
        </w:r>
      </w:hyperlink>
      <w:r>
        <w:t xml:space="preserve">)</w:t>
      </w:r>
    </w:p>
    <w:p>
      <w:pPr>
        <w:numPr>
          <w:ilvl w:val="0"/>
          <w:numId w:val="1006"/>
        </w:numPr>
      </w:pPr>
      <w:r>
        <w:rPr>
          <w:b/>
          <w:bCs/>
        </w:rPr>
        <w:t xml:space="preserve">Primary-care partnership options:</w:t>
      </w:r>
      <w:r>
        <w:t xml:space="preserve"> </w:t>
      </w:r>
      <w:r>
        <w:t xml:space="preserve">Management previously indicated potential 2027 cash requirements of roughly</w:t>
      </w:r>
      <w:r>
        <w:t xml:space="preserve"> </w:t>
      </w:r>
      <m:oMath>
        <m:r>
          <m:t>1.0</m:t>
        </m:r>
        <m:r>
          <m:t>b</m:t>
        </m:r>
        <m:r>
          <m:t>i</m:t>
        </m:r>
        <m:r>
          <m:t>l</m:t>
        </m:r>
        <m:r>
          <m:t>l</m:t>
        </m:r>
        <m:r>
          <m:t>i</m:t>
        </m:r>
        <m:r>
          <m:t>o</m:t>
        </m:r>
        <m:r>
          <m:t>n</m:t>
        </m:r>
        <m:r>
          <m:rPr>
            <m:sty m:val="p"/>
          </m:rPr>
          <m:t>–</m:t>
        </m:r>
      </m:oMath>
      <w:r>
        <w:rPr>
          <w:b/>
          <w:bCs/>
        </w:rPr>
        <w:t xml:space="preserve">1.5 billion</w:t>
      </w:r>
      <w:r>
        <w:t xml:space="preserve"> </w:t>
      </w:r>
      <w:r>
        <w:t xml:space="preserve">if the relevant put option is exercised, while stating that such outflows were included in its funding plan. Investors will look for any update following the mid-2026 decision window. (</w:t>
      </w:r>
      <w:hyperlink r:id="rId12">
        <w:r>
          <w:rPr>
            <w:rStyle w:val="Hyperlink"/>
          </w:rPr>
          <w:t xml:space="preserve">humana.gcs-web.com</w:t>
        </w:r>
      </w:hyperlink>
      <w:r>
        <w:t xml:space="preserve">)</w:t>
      </w:r>
    </w:p>
    <w:p>
      <w:pPr>
        <w:pStyle w:val="FirstParagraph"/>
      </w:pPr>
      <w:r>
        <w:t xml:space="preserve">The preferred outcome is no surprise: confirmation that the company can fund strategic primary-care growth and contractual obligations while retaining its current dividend and maintaining conservative capital levels.</w:t>
      </w:r>
    </w:p>
    <w:p>
      <w:r>
        <w:pict>
          <v:rect style="width:0;height:1.5pt" o:hralign="center" o:hrstd="t" o:hr="t"/>
        </w:pict>
      </w:r>
    </w:p>
    <w:bookmarkEnd w:id="21"/>
    <w:bookmarkStart w:id="22" w:name="stock-setup"/>
    <w:p>
      <w:pPr>
        <w:pStyle w:val="Heading2"/>
      </w:pPr>
      <w:r>
        <w:t xml:space="preserve">Stock setup</w:t>
      </w:r>
    </w:p>
    <w:p>
      <w:pPr>
        <w:pStyle w:val="FirstParagraph"/>
      </w:pPr>
      <w:r>
        <w:t xml:space="preserve">HUM closed at</w:t>
      </w:r>
      <w:r>
        <w:t xml:space="preserve"> </w:t>
      </w:r>
      <w:r>
        <w:rPr>
          <w:b/>
          <w:bCs/>
        </w:rPr>
        <w:t xml:space="preserve">$388.75 on July 28</w:t>
      </w:r>
      <w:r>
        <w:t xml:space="preserve">, up approximately</w:t>
      </w:r>
      <w:r>
        <w:t xml:space="preserve"> </w:t>
      </w:r>
      <w:r>
        <w:rPr>
          <w:b/>
          <w:bCs/>
        </w:rPr>
        <w:t xml:space="preserve">51.8% year to date</w:t>
      </w:r>
      <w:r>
        <w:t xml:space="preserve"> </w:t>
      </w:r>
      <w:r>
        <w:t xml:space="preserve">and</w:t>
      </w:r>
      <w:r>
        <w:t xml:space="preserve"> </w:t>
      </w:r>
      <w:r>
        <w:rPr>
          <w:b/>
          <w:bCs/>
        </w:rPr>
        <w:t xml:space="preserve">114.4% from its February 10 low</w:t>
      </w:r>
      <w:r>
        <w:t xml:space="preserve"> </w:t>
      </w:r>
      <w:r>
        <w:t xml:space="preserve">of $181.30. It is also about</w:t>
      </w:r>
      <w:r>
        <w:t xml:space="preserve"> </w:t>
      </w:r>
      <w:r>
        <w:rPr>
          <w:b/>
          <w:bCs/>
        </w:rPr>
        <w:t xml:space="preserve">5.0% below</w:t>
      </w:r>
      <w:r>
        <w:t xml:space="preserve"> </w:t>
      </w:r>
      <w:r>
        <w:t xml:space="preserve">its July 1 closing high of $409.42.</w:t>
      </w:r>
    </w:p>
    <w:p>
      <w:pPr>
        <w:pStyle w:val="BodyText"/>
      </w:pPr>
      <w:r>
        <w:t xml:space="preserve">That recovery reflects investor confidence that managed-care utilization pressure is moderating and that Humana’s execution is improving. It also means the bar is higher than it was entering 1Q: simply reporting an in-line quarter may be insufficient if the company does not offer credible evidence that 2026 medical costs, Stars recovery, and 2027 margin actions are progressing as planned.</w:t>
      </w:r>
    </w:p>
    <w:p>
      <w:r>
        <w:pict>
          <v:rect style="width:0;height:1.5pt" o:hralign="center" o:hrstd="t" o:hr="t"/>
        </w:pict>
      </w:r>
    </w:p>
    <w:bookmarkEnd w:id="22"/>
    <w:bookmarkStart w:id="23" w:name="potential-market-reactions"/>
    <w:p>
      <w:pPr>
        <w:pStyle w:val="Heading2"/>
      </w:pPr>
      <w:r>
        <w:t xml:space="preserve">Potential market reactions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looks like</w:t>
            </w:r>
          </w:p>
        </w:tc>
        <w:tc>
          <w:tcPr/>
          <w:p>
            <w:pPr>
              <w:pStyle w:val="Compact"/>
            </w:pPr>
            <w:r>
              <w:t xml:space="preserve">Likely interpretation</w:t>
            </w:r>
          </w:p>
        </w:tc>
      </w:tr>
      <w:tr>
        <w:tc>
          <w:tcPr/>
          <w:p>
            <w:pPr>
              <w:pStyle w:val="Compact"/>
            </w:pPr>
            <w:r>
              <w:rPr>
                <w:b/>
                <w:bCs/>
              </w:rPr>
              <w:t xml:space="preserve">Bull case</w:t>
            </w:r>
          </w:p>
        </w:tc>
        <w:tc>
          <w:tcPr/>
          <w:p>
            <w:pPr>
              <w:pStyle w:val="Compact"/>
            </w:pPr>
            <w:r>
              <w:t xml:space="preserve">Benefit ratio at/better than plan; full-year guide reaffirmed confidently; clean June claims commentary; tangible Stars progress; disciplined 2027 bid actions</w:t>
            </w:r>
          </w:p>
        </w:tc>
        <w:tc>
          <w:tcPr/>
          <w:p>
            <w:pPr>
              <w:pStyle w:val="Compact"/>
            </w:pPr>
            <w:r>
              <w:t xml:space="preserve">Reinforces that 2026 is de-risking and that 2027–28 earnings power is becoming more credible</w:t>
            </w:r>
          </w:p>
        </w:tc>
      </w:tr>
      <w:tr>
        <w:tc>
          <w:tcPr/>
          <w:p>
            <w:pPr>
              <w:pStyle w:val="Compact"/>
            </w:pPr>
            <w:r>
              <w:rPr>
                <w:b/>
                <w:bCs/>
              </w:rPr>
              <w:t xml:space="preserve">Base case</w:t>
            </w:r>
          </w:p>
        </w:tc>
        <w:tc>
          <w:tcPr/>
          <w:p>
            <w:pPr>
              <w:pStyle w:val="Compact"/>
            </w:pPr>
            <w:r>
              <w:t xml:space="preserve">In-line benefit ratio, guide maintained, no material new cost concerns, but limited incremental detail on Stars or 2027 benefits</w:t>
            </w:r>
          </w:p>
        </w:tc>
        <w:tc>
          <w:tcPr/>
          <w:p>
            <w:pPr>
              <w:pStyle w:val="Compact"/>
            </w:pPr>
            <w:r>
              <w:t xml:space="preserve">Fundamentally acceptable, though the stock may need more upside evidence after its strong run</w:t>
            </w:r>
          </w:p>
        </w:tc>
      </w:tr>
      <w:tr>
        <w:tc>
          <w:tcPr/>
          <w:p>
            <w:pPr>
              <w:pStyle w:val="Compact"/>
            </w:pPr>
            <w:r>
              <w:rPr>
                <w:b/>
                <w:bCs/>
              </w:rPr>
              <w:t xml:space="preserve">Bear case</w:t>
            </w:r>
          </w:p>
        </w:tc>
        <w:tc>
          <w:tcPr/>
          <w:p>
            <w:pPr>
              <w:pStyle w:val="Compact"/>
            </w:pPr>
            <w:r>
              <w:t xml:space="preserve">Benefit ratio above plan, weaker new-member development, adverse reserve development, more conservative guide posture, or vague Stars update</w:t>
            </w:r>
          </w:p>
        </w:tc>
        <w:tc>
          <w:tcPr/>
          <w:p>
            <w:pPr>
              <w:pStyle w:val="Compact"/>
            </w:pPr>
            <w:r>
              <w:t xml:space="preserve">Reopens the core debate around whether MA margins can recover on the expected timeline</w:t>
            </w:r>
          </w:p>
        </w:tc>
      </w:tr>
    </w:tbl>
    <w:p>
      <w:r>
        <w:pict>
          <v:rect style="width:0;height:1.5pt" o:hralign="center" o:hrstd="t" o:hr="t"/>
        </w:pict>
      </w:r>
    </w:p>
    <w:bookmarkEnd w:id="23"/>
    <w:bookmarkStart w:id="24" w:name="bottom-line"/>
    <w:p>
      <w:pPr>
        <w:pStyle w:val="Heading2"/>
      </w:pPr>
      <w:r>
        <w:t xml:space="preserve">Bottom line</w:t>
      </w:r>
    </w:p>
    <w:p>
      <w:pPr>
        <w:pStyle w:val="FirstParagraph"/>
      </w:pPr>
      <w:r>
        <w:t xml:space="preserve">The most constructive outcome is</w:t>
      </w:r>
      <w:r>
        <w:t xml:space="preserve"> </w:t>
      </w:r>
      <w:r>
        <w:rPr>
          <w:b/>
          <w:bCs/>
        </w:rPr>
        <w:t xml:space="preserve">not</w:t>
      </w:r>
      <w:r>
        <w:t xml:space="preserve"> </w:t>
      </w:r>
      <w:r>
        <w:t xml:space="preserve">necessarily a large EPS beat. It is a report that demonstrates:</w:t>
      </w:r>
    </w:p>
    <w:p>
      <w:pPr>
        <w:pStyle w:val="Compact"/>
        <w:numPr>
          <w:ilvl w:val="0"/>
          <w:numId w:val="1007"/>
        </w:numPr>
      </w:pPr>
      <w:r>
        <w:rPr>
          <w:b/>
          <w:bCs/>
        </w:rPr>
        <w:t xml:space="preserve">2Q medical costs and the new MA cohort remain on plan;</w:t>
      </w:r>
    </w:p>
    <w:p>
      <w:pPr>
        <w:pStyle w:val="Compact"/>
        <w:numPr>
          <w:ilvl w:val="0"/>
          <w:numId w:val="1007"/>
        </w:numPr>
      </w:pPr>
      <w:r>
        <w:rPr>
          <w:b/>
          <w:bCs/>
        </w:rPr>
        <w:t xml:space="preserve">the full-year 2026 guide is supported by claims data rather than reserve conservatism;</w:t>
      </w:r>
    </w:p>
    <w:p>
      <w:pPr>
        <w:pStyle w:val="Compact"/>
        <w:numPr>
          <w:ilvl w:val="0"/>
          <w:numId w:val="1007"/>
        </w:numPr>
      </w:pPr>
      <w:r>
        <w:rPr>
          <w:b/>
          <w:bCs/>
        </w:rPr>
        <w:t xml:space="preserve">Stars remediation is progressing sufficiently to support future earnings recovery; and</w:t>
      </w:r>
    </w:p>
    <w:p>
      <w:pPr>
        <w:pStyle w:val="Compact"/>
        <w:numPr>
          <w:ilvl w:val="0"/>
          <w:numId w:val="1007"/>
        </w:numPr>
      </w:pPr>
      <w:r>
        <w:rPr>
          <w:b/>
          <w:bCs/>
        </w:rPr>
        <w:t xml:space="preserve">2027 pricing and benefit actions preserve the path to a normalized MA margin of at least 3% in 2028.</w:t>
      </w:r>
    </w:p>
    <w:p>
      <w:pPr>
        <w:pStyle w:val="FirstParagraph"/>
      </w:pPr>
      <w:r>
        <w:t xml:space="preserve">If Humana delivers those four messages, 2Q should further validate the company’s turnaround trajectory. If any of them weaken—particularly the benefit ratio or claims-reserve commentary—the stock’s recent rerating leaves limited room for error.</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humana.gcs-web.com/news-releases/news-release-details/humana-announces-agreement-divest-minority-interest-gentiva" TargetMode="External" /><Relationship Type="http://schemas.openxmlformats.org/officeDocument/2006/relationships/hyperlink" Id="rId9" Target="https://humana.gcs-web.com/news-releases/news-release-details/humana-inc-release-second-quarter-2026-results-july-29-2026?utm_source=openai" TargetMode="External" /><Relationship Type="http://schemas.openxmlformats.org/officeDocument/2006/relationships/hyperlink" Id="rId11" Target="https://humana.gcs-web.com/news-releases/news-release-details/humana-reports-first-quarter-2026-financial-results-affirms-full?utm_source=openai" TargetMode="External" /><Relationship Type="http://schemas.openxmlformats.org/officeDocument/2006/relationships/hyperlink" Id="rId12" Target="https://humana.gcs-web.com/static-files/b66892ec-093d-48ea-8636-54ce899e5832" TargetMode="External" /></Relationships>
</file>

<file path=word/_rels/footnotes.xml.rels><?xml version="1.0" encoding="UTF-8"?><Relationships xmlns="http://schemas.openxmlformats.org/package/2006/relationships"><Relationship Type="http://schemas.openxmlformats.org/officeDocument/2006/relationships/hyperlink" Id="rId20" Target="https://humana.gcs-web.com/news-releases/news-release-details/humana-announces-agreement-divest-minority-interest-gentiva" TargetMode="External" /><Relationship Type="http://schemas.openxmlformats.org/officeDocument/2006/relationships/hyperlink" Id="rId9" Target="https://humana.gcs-web.com/news-releases/news-release-details/humana-inc-release-second-quarter-2026-results-july-29-2026?utm_source=openai" TargetMode="External" /><Relationship Type="http://schemas.openxmlformats.org/officeDocument/2006/relationships/hyperlink" Id="rId11" Target="https://humana.gcs-web.com/news-releases/news-release-details/humana-reports-first-quarter-2026-financial-results-affirms-full?utm_source=openai" TargetMode="External" /><Relationship Type="http://schemas.openxmlformats.org/officeDocument/2006/relationships/hyperlink" Id="rId12" Target="https://humana.gcs-web.com/static-files/b66892ec-093d-48ea-8636-54ce899e583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2026-07-29T00:08:09Z</dcterms:created>
  <dcterms:modified xsi:type="dcterms:W3CDTF">2026-07-29T00:08:09Z</dcterms:modified>
</cp:coreProperties>
</file>

<file path=docProps/custom.xml><?xml version="1.0" encoding="utf-8"?>
<Properties xmlns="http://schemas.openxmlformats.org/officeDocument/2006/custom-properties" xmlns:vt="http://schemas.openxmlformats.org/officeDocument/2006/docPropsVTypes"/>
</file>