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ice-earnings-predictions--2026-07-30"/>
    <w:p>
      <w:pPr>
        <w:pStyle w:val="Heading1"/>
      </w:pPr>
      <w:r>
        <w:t xml:space="preserve">ICE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2.30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2.15 (+7%)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2.96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2.87B (+3%)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Energy (exchanges) transaction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770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695M (+11%)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expense (Q3'26)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1.045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1.040B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opex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4.18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4.17B (FY2026); modest revenue-driven raise possible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Energy open interest / forward volume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OI pred ~+18% y/y held post-March vs. cons/feared roll-over ~flat (fwd/Q3)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Mortgage recurring revenue outlook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~flat vs. cons ~$540M (Q3 2026); refi tailwind at risk if Fed hikes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ICE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(FADE)</w:t>
            </w:r>
          </w:p>
        </w:tc>
        <w:tc>
          <w:tcPr/>
          <w:p>
            <w:pPr>
              <w:pStyle w:val="Compact"/>
            </w:pPr>
            <w:r>
              <w:t xml:space="preserve">Expect a genuine record quarter and a clean beat on energy/rates, but the stock ran ~+25% off its late-June low and ~+8% in the two sessions into the print, pricing in a beat-and-sustain. Energy transaction revenue is a war/volatility windfall the market treats as peak-cyclical, so even after the beat sell-side out-quarter (Q3/Q4) models get trimmed on mean-reversion of energy ADV/OI and refi-driven mortgage upside that reverses if the Fed hikes. That implicit-cut, out-period math pulls estimates and the multiple down after an initial pop, driving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2026-07-29T18:04:37Z</dcterms:created>
  <dcterms:modified xsi:type="dcterms:W3CDTF">2026-07-29T18:04:37Z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