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ICE (Intercontinental Exchange) before writing the preview. Let me start by gathering recent earnings materials, filings, and news.Let me read the most recent earnings call and release, and gather recent news and historical quarters.Now let me gather recent news, monthly volume data leading into the print, stock performance, and the year-ago Q2 comparison.Let me read the year-ago Q2 2025 release for comps and pull recent news.I now have what I need. Let me do a quick check on the near-term news/volume backdrop before writing.I have everything I need. Here's the preview.</w:t>
      </w:r>
    </w:p>
    <w:p>
      <w:r>
        <w:pict>
          <v:rect style="width:0;height:1.5pt" o:hralign="center" o:hrstd="t" o:hr="t"/>
        </w:pict>
      </w:r>
    </w:p>
    <w:bookmarkStart w:id="23" w:name="X9dfcfdedb0fccb85bda762f7bc097361cd8c161"/>
    <w:p>
      <w:pPr>
        <w:pStyle w:val="Heading1"/>
      </w:pPr>
      <w:r>
        <w:t xml:space="preserve">ICE (Intercontinental Exchange) — Q2 2026 Earnings Preview</w:t>
      </w:r>
    </w:p>
    <w:bookmarkStart w:id="9" w:name="Xfc87a7e846b3d6edc9cdbb6ef8e2718e32c34fb"/>
    <w:p>
      <w:pPr>
        <w:pStyle w:val="Heading3"/>
      </w:pPr>
      <w:r>
        <w:t xml:space="preserve">Reports Thursday, July 30, 2026, ~8:30 a.m. ET (before open) | Ticker: ICE (NYSE)</w:t>
      </w:r>
    </w:p>
    <w:bookmarkEnd w:id="9"/>
    <w:bookmarkStart w:id="10" w:name="the-one-line-setup"/>
    <w:p>
      <w:pPr>
        <w:pStyle w:val="Heading2"/>
      </w:pPr>
      <w:r>
        <w:t xml:space="preserve">The one-line setup</w:t>
      </w:r>
    </w:p>
    <w:p>
      <w:pPr>
        <w:pStyle w:val="FirstParagraph"/>
      </w:pPr>
      <w:r>
        <w:t xml:space="preserve">ICE walks into this print with arguably the most favorable macro backdrop imaginable for its franchise — a live U.S.-Iran/Israel war spiking oil above $85, Strait of Hormuz disruptions rewiring global energy flows, and a genuinely "live" Fed decision (markets pricing ~30–35% odds of the first rate hike in years under new Chair Kevin Warsh). This is the "all-weather"/"Acts of God + Acts of Man" environment management has spent years describing. The key debate isn't</w:t>
      </w:r>
      <w:r>
        <w:t xml:space="preserve"> </w:t>
      </w:r>
      <w:r>
        <w:rPr>
          <w:i/>
          <w:iCs/>
        </w:rPr>
        <w:t xml:space="preserve">whether</w:t>
      </w:r>
      <w:r>
        <w:t xml:space="preserve"> </w:t>
      </w:r>
      <w:r>
        <w:t xml:space="preserve">the quarter was strong — it's whether the extraordinary Q1 momentum was sustained and how much of it the market has already priced after a sharp round-trip in the stock.</w:t>
      </w:r>
    </w:p>
    <w:p>
      <w:r>
        <w:pict>
          <v:rect style="width:0;height:1.5pt" o:hralign="center" o:hrstd="t" o:hr="t"/>
        </w:pict>
      </w:r>
    </w:p>
    <w:bookmarkEnd w:id="10"/>
    <w:bookmarkStart w:id="11" w:name="stock-setup--positioning"/>
    <w:p>
      <w:pPr>
        <w:pStyle w:val="Heading2"/>
      </w:pPr>
      <w:r>
        <w:t xml:space="preserve">Stock setup &amp; positioning</w:t>
      </w:r>
    </w:p>
    <w:p>
      <w:pPr>
        <w:pStyle w:val="FirstParagraph"/>
      </w:pPr>
      <w:r>
        <w:t xml:space="preserve">ICE has been on a rollercoaster in 2026. Shares started the year near</w:t>
      </w:r>
      <w:r>
        <w:t xml:space="preserve"> </w:t>
      </w:r>
      <m:oMath>
        <m:r>
          <m:t>160</m:t>
        </m:r>
        <m:r>
          <m:rPr>
            <m:sty m:val="p"/>
          </m:rPr>
          <m:t>,</m:t>
        </m:r>
        <m:r>
          <m:t>r</m:t>
        </m:r>
        <m:r>
          <m:t>a</m:t>
        </m:r>
        <m:r>
          <m:t>n</m:t>
        </m:r>
        <m:r>
          <m:t>t</m:t>
        </m:r>
        <m:r>
          <m:t>o</m:t>
        </m:r>
        <m:r>
          <m:t> </m:t>
        </m:r>
      </m:oMath>
      <w:r>
        <w:t xml:space="preserve">175 by late January, then de-rated hard to a ~</w:t>
      </w:r>
      <m:oMath>
        <m:r>
          <m:t>123</m:t>
        </m:r>
        <m:r>
          <m:t>l</m:t>
        </m:r>
        <m:r>
          <m:t>o</m:t>
        </m:r>
        <m:r>
          <m:t>w</m:t>
        </m:r>
        <m:r>
          <m:t>i</m:t>
        </m:r>
        <m:r>
          <m:t>n</m:t>
        </m:r>
        <m:r>
          <m:t>l</m:t>
        </m:r>
        <m:r>
          <m:t>a</m:t>
        </m:r>
        <m:r>
          <m:t>t</m:t>
        </m:r>
        <m:r>
          <m:t>e</m:t>
        </m:r>
        <m:r>
          <m:t>J</m:t>
        </m:r>
        <m:r>
          <m:t>u</m:t>
        </m:r>
        <m:r>
          <m:t>n</m:t>
        </m:r>
        <m:r>
          <m:t>e</m:t>
        </m:r>
        <m:r>
          <m:t>b</m:t>
        </m:r>
        <m:r>
          <m:t>e</m:t>
        </m:r>
        <m:r>
          <m:t>f</m:t>
        </m:r>
        <m:r>
          <m:t>o</m:t>
        </m:r>
        <m:r>
          <m:t>r</m:t>
        </m:r>
        <m:r>
          <m:t>e</m:t>
        </m:r>
        <m:r>
          <m:t>r</m:t>
        </m:r>
        <m:r>
          <m:t>e</m:t>
        </m:r>
        <m:r>
          <m:t>b</m:t>
        </m:r>
        <m:r>
          <m:t>o</m:t>
        </m:r>
        <m:r>
          <m:t>u</m:t>
        </m:r>
        <m:r>
          <m:t>n</m:t>
        </m:r>
        <m:r>
          <m:t>d</m:t>
        </m:r>
        <m:r>
          <m:t>i</m:t>
        </m:r>
        <m:r>
          <m:t>n</m:t>
        </m:r>
        <m:r>
          <m:t>g</m:t>
        </m:r>
        <m:r>
          <m:t>t</m:t>
        </m:r>
        <m:r>
          <m:t>o</m:t>
        </m:r>
        <m:r>
          <m:t> </m:t>
        </m:r>
      </m:oMath>
      <w:r>
        <w:t xml:space="preserve">154.5 into the print — including a sharp ~+8% pop over the two sessions right before earnings (7/27–7/29). Net-net the stock is roughly flat-to-down modestly YTD despite record fundamentals.</w:t>
      </w:r>
    </w:p>
    <w:p>
      <w:pPr>
        <w:pStyle w:val="BodyText"/>
      </w:pPr>
      <w:r>
        <w:t xml:space="preserve">Peer context YTD (Jan 2 → Jul 29):</w:t>
      </w:r>
    </w:p>
    <w:p>
      <w:pPr>
        <w:pStyle w:val="Compact"/>
        <w:numPr>
          <w:ilvl w:val="0"/>
          <w:numId w:val="1001"/>
        </w:numPr>
      </w:pPr>
      <w:r>
        <w:rPr>
          <w:b/>
          <w:bCs/>
        </w:rPr>
        <w:t xml:space="preserve">ICE</w:t>
      </w:r>
      <w:r>
        <w:t xml:space="preserve">: ~</w:t>
      </w:r>
      <m:oMath>
        <m:r>
          <m:t>160</m:t>
        </m:r>
        <m:r>
          <m:rPr>
            <m:sty m:val="p"/>
          </m:rPr>
          <m:t>→</m:t>
        </m:r>
        <m:r>
          <m:t> </m:t>
        </m:r>
      </m:oMath>
      <w:r>
        <w:t xml:space="preserve">154.5 (roughly flat, but with a ~30% peak-to-trough drawdown)</w:t>
      </w:r>
    </w:p>
    <w:p>
      <w:pPr>
        <w:pStyle w:val="Compact"/>
        <w:numPr>
          <w:ilvl w:val="0"/>
          <w:numId w:val="1001"/>
        </w:numPr>
      </w:pPr>
      <w:r>
        <w:rPr>
          <w:b/>
          <w:bCs/>
        </w:rPr>
        <w:t xml:space="preserve">CME</w:t>
      </w:r>
      <w:r>
        <w:t xml:space="preserve">: ~</w:t>
      </w:r>
      <m:oMath>
        <m:r>
          <m:t>270</m:t>
        </m:r>
        <m:r>
          <m:rPr>
            <m:sty m:val="p"/>
          </m:rPr>
          <m:t>→</m:t>
        </m:r>
        <m:r>
          <m:t> </m:t>
        </m:r>
      </m:oMath>
      <w:r>
        <w:t xml:space="preserve">265 (flat)</w:t>
      </w:r>
    </w:p>
    <w:p>
      <w:pPr>
        <w:pStyle w:val="Compact"/>
        <w:numPr>
          <w:ilvl w:val="0"/>
          <w:numId w:val="1001"/>
        </w:numPr>
      </w:pPr>
      <w:r>
        <w:rPr>
          <w:b/>
          <w:bCs/>
        </w:rPr>
        <w:t xml:space="preserve">CBOE</w:t>
      </w:r>
      <w:r>
        <w:t xml:space="preserve">: ~</w:t>
      </w:r>
      <m:oMath>
        <m:r>
          <m:t>248</m:t>
        </m:r>
        <m:r>
          <m:rPr>
            <m:sty m:val="p"/>
          </m:rPr>
          <m:t>→</m:t>
        </m:r>
        <m:r>
          <m:t> </m:t>
        </m:r>
      </m:oMath>
      <w:r>
        <w:t xml:space="preserve">306 (+~23%, the clear outperformer on volatility)</w:t>
      </w:r>
    </w:p>
    <w:p>
      <w:pPr>
        <w:pStyle w:val="Compact"/>
        <w:numPr>
          <w:ilvl w:val="0"/>
          <w:numId w:val="1001"/>
        </w:numPr>
      </w:pPr>
      <w:r>
        <w:rPr>
          <w:b/>
          <w:bCs/>
        </w:rPr>
        <w:t xml:space="preserve">NDAQ</w:t>
      </w:r>
      <w:r>
        <w:t xml:space="preserve">: ~</w:t>
      </w:r>
      <m:oMath>
        <m:r>
          <m:t>97</m:t>
        </m:r>
        <m:r>
          <m:rPr>
            <m:sty m:val="p"/>
          </m:rPr>
          <m:t>→</m:t>
        </m:r>
        <m:r>
          <m:t> </m:t>
        </m:r>
      </m:oMath>
      <w:r>
        <w:t xml:space="preserve">96 (flat)</w:t>
      </w:r>
    </w:p>
    <w:p>
      <w:pPr>
        <w:pStyle w:val="FirstParagraph"/>
      </w:pPr>
      <w:r>
        <w:t xml:space="preserve">Takeaway: ICE has notably lagged CBOE despite a comparable volatility tailwind, and management itself flagged on the Q1 call that the shares had "disconnected from the fundamentals" — they bought back an incremental $200M opportunistically in mid-February. The recent bounce suggests sentiment is turning positive into the number, which raises the bar somewhat.</w:t>
      </w:r>
    </w:p>
    <w:p>
      <w:r>
        <w:pict>
          <v:rect style="width:0;height:1.5pt" o:hralign="center" o:hrstd="t" o:hr="t"/>
        </w:pict>
      </w:r>
    </w:p>
    <w:bookmarkEnd w:id="11"/>
    <w:bookmarkStart w:id="12" w:name="q1-2026-recap--the-bar-management-set"/>
    <w:p>
      <w:pPr>
        <w:pStyle w:val="Heading2"/>
      </w:pPr>
      <w:r>
        <w:t xml:space="preserve">Q1 2026 recap — the bar management set</w:t>
      </w:r>
    </w:p>
    <w:p>
      <w:pPr>
        <w:pStyle w:val="FirstParagraph"/>
      </w:pPr>
      <w:r>
        <w:t xml:space="preserve">Q1 was described as</w:t>
      </w:r>
      <w:r>
        <w:t xml:space="preserve"> </w:t>
      </w:r>
      <w:r>
        <w:rPr>
          <w:b/>
          <w:bCs/>
        </w:rPr>
        <w:t xml:space="preserve">the strongest quarter in ICE's history</w:t>
      </w:r>
      <w:r>
        <w:t xml:space="preserve">, so it's the reference point for expectations:</w:t>
      </w:r>
    </w:p>
    <w:p>
      <w:pPr>
        <w:pStyle w:val="Compact"/>
        <w:numPr>
          <w:ilvl w:val="0"/>
          <w:numId w:val="1002"/>
        </w:numPr>
      </w:pPr>
      <w:r>
        <w:rPr>
          <w:b/>
          <w:bCs/>
        </w:rPr>
        <w:t xml:space="preserve">Net revenue $3.0B, +18–20% y/y</w:t>
      </w:r>
      <w:r>
        <w:t xml:space="preserve">;</w:t>
      </w:r>
      <w:r>
        <w:t xml:space="preserve"> </w:t>
      </w:r>
      <w:r>
        <w:rPr>
          <w:b/>
          <w:bCs/>
        </w:rPr>
        <w:t xml:space="preserve">adjusted EPS $2.35, +37% y/y</w:t>
      </w:r>
      <w:r>
        <w:t xml:space="preserve">; adj. operating income $1.9B; adj. operating margin 65%.</w:t>
      </w:r>
    </w:p>
    <w:p>
      <w:pPr>
        <w:pStyle w:val="Compact"/>
        <w:numPr>
          <w:ilvl w:val="0"/>
          <w:numId w:val="1002"/>
        </w:numPr>
      </w:pPr>
      <w:r>
        <w:rPr>
          <w:b/>
          <w:bCs/>
        </w:rPr>
        <w:t xml:space="preserve">Exchanges net rev $1.78B, +27%</w:t>
      </w:r>
      <w:r>
        <w:t xml:space="preserve"> </w:t>
      </w:r>
      <w:r>
        <w:t xml:space="preserve">— Energy +46% (oil +47%), Financials/rates +65% (interest-rate revenue ~+70%), driven by the Iran conflict and rate repricing.</w:t>
      </w:r>
    </w:p>
    <w:p>
      <w:pPr>
        <w:pStyle w:val="Compact"/>
        <w:numPr>
          <w:ilvl w:val="0"/>
          <w:numId w:val="1002"/>
        </w:numPr>
      </w:pPr>
      <w:r>
        <w:rPr>
          <w:b/>
          <w:bCs/>
        </w:rPr>
        <w:t xml:space="preserve">FIDS $657M, +9%</w:t>
      </w:r>
      <w:r>
        <w:t xml:space="preserve"> </w:t>
      </w:r>
      <w:r>
        <w:t xml:space="preserve">— recurring +8%, CDS clearing +18–19%, index ETF AUM a record $829B (+21%).</w:t>
      </w:r>
    </w:p>
    <w:p>
      <w:pPr>
        <w:pStyle w:val="Compact"/>
        <w:numPr>
          <w:ilvl w:val="0"/>
          <w:numId w:val="1002"/>
        </w:numPr>
      </w:pPr>
      <w:r>
        <w:rPr>
          <w:b/>
          <w:bCs/>
        </w:rPr>
        <w:t xml:space="preserve">Mortgage $539M, +6%</w:t>
      </w:r>
      <w:r>
        <w:t xml:space="preserve"> </w:t>
      </w:r>
      <w:r>
        <w:t xml:space="preserve">— best quarter since Q4 2022 (pro forma Black Knight); transaction revenue +22% on refi/closed-loan strength.</w:t>
      </w:r>
    </w:p>
    <w:p>
      <w:pPr>
        <w:pStyle w:val="Compact"/>
        <w:numPr>
          <w:ilvl w:val="0"/>
          <w:numId w:val="1002"/>
        </w:numPr>
      </w:pPr>
      <w:r>
        <w:t xml:space="preserve">Key forward tells: total futures &amp; options open interest hit a</w:t>
      </w:r>
      <w:r>
        <w:t xml:space="preserve"> </w:t>
      </w:r>
      <w:r>
        <w:rPr>
          <w:b/>
          <w:bCs/>
        </w:rPr>
        <w:t xml:space="preserve">record, +23% y/y</w:t>
      </w:r>
      <w:r>
        <w:t xml:space="preserve">; interest-rate OI +63%; energy OI still +6% through April. Management stressed OI is the "leading health indicator" and that participants "build and stay," not speculate and exit.</w:t>
      </w:r>
    </w:p>
    <w:p>
      <w:r>
        <w:pict>
          <v:rect style="width:0;height:1.5pt" o:hralign="center" o:hrstd="t" o:hr="t"/>
        </w:pict>
      </w:r>
    </w:p>
    <w:bookmarkEnd w:id="12"/>
    <w:bookmarkStart w:id="20" w:name="what-to-watch-this-quarter"/>
    <w:p>
      <w:pPr>
        <w:pStyle w:val="Heading2"/>
      </w:pPr>
      <w:r>
        <w:t xml:space="preserve">What to watch this quarter</w:t>
      </w:r>
    </w:p>
    <w:bookmarkStart w:id="13" w:name="X7eabf1f2b38fbcf9b680e792d52bcbc3910b4b1"/>
    <w:p>
      <w:pPr>
        <w:pStyle w:val="Heading3"/>
      </w:pPr>
      <w:r>
        <w:t xml:space="preserve">1) Exchanges / Energy — is the surge sustainable? (the single biggest swing factor)</w:t>
      </w:r>
    </w:p>
    <w:p>
      <w:pPr>
        <w:pStyle w:val="FirstParagraph"/>
      </w:pPr>
      <w:r>
        <w:t xml:space="preserve">The bull case got</w:t>
      </w:r>
      <w:r>
        <w:t xml:space="preserve"> </w:t>
      </w:r>
      <w:r>
        <w:rPr>
          <w:i/>
          <w:iCs/>
        </w:rPr>
        <w:t xml:space="preserve">stronger</w:t>
      </w:r>
      <w:r>
        <w:t xml:space="preserve"> </w:t>
      </w:r>
      <w:r>
        <w:t xml:space="preserve">during Q2. The macro data shows the U.S.-Iran conflict escalating rather than resolving, with oil rallying 7%+ on renewed strikes, Brent above ~$85–87, Houthi attacks on Saudi facilities, and tanker traffic through Hormuz essentially halted. Management's Q1 thesis — a "multiyear structural repricing" of energy with Asian buyers rerouting crude/LNG through ICE's benchmarks (Brent, TTF, JKM, gas oil, freight/marine fuels) — is playing out in real time.</w:t>
      </w:r>
    </w:p>
    <w:p>
      <w:pPr>
        <w:pStyle w:val="Compact"/>
        <w:numPr>
          <w:ilvl w:val="0"/>
          <w:numId w:val="1003"/>
        </w:numPr>
      </w:pPr>
      <w:r>
        <w:rPr>
          <w:b/>
          <w:bCs/>
        </w:rPr>
        <w:t xml:space="preserve">Watch:</w:t>
      </w:r>
      <w:r>
        <w:t xml:space="preserve"> </w:t>
      </w:r>
      <w:r>
        <w:t xml:space="preserve">energy transaction revenue vs. the Q2'25 base of</w:t>
      </w:r>
      <w:r>
        <w:t xml:space="preserve"> </w:t>
      </w:r>
      <w:r>
        <w:rPr>
          <w:b/>
          <w:bCs/>
        </w:rPr>
        <w:t xml:space="preserve">$595M</w:t>
      </w:r>
      <w:r>
        <w:t xml:space="preserve"> </w:t>
      </w:r>
      <w:r>
        <w:t xml:space="preserve">(and the Q1'26 run-rate of $814M); commentary on whether April–June open interest</w:t>
      </w:r>
      <w:r>
        <w:t xml:space="preserve"> </w:t>
      </w:r>
      <w:r>
        <w:rPr>
          <w:i/>
          <w:iCs/>
        </w:rPr>
        <w:t xml:space="preserve">held</w:t>
      </w:r>
      <w:r>
        <w:t xml:space="preserve"> </w:t>
      </w:r>
      <w:r>
        <w:t xml:space="preserve">after the March record, and whether the pullback in volumes off March peaks is "healthy" normalization vs. "market exhaustion" (the exact question KBW pressed on last call).</w:t>
      </w:r>
    </w:p>
    <w:p>
      <w:pPr>
        <w:pStyle w:val="Compact"/>
        <w:numPr>
          <w:ilvl w:val="0"/>
          <w:numId w:val="1003"/>
        </w:numPr>
      </w:pPr>
      <w:r>
        <w:rPr>
          <w:b/>
          <w:bCs/>
        </w:rPr>
        <w:t xml:space="preserve">Watch:</w:t>
      </w:r>
      <w:r>
        <w:t xml:space="preserve"> </w:t>
      </w:r>
      <w:r>
        <w:t xml:space="preserve">the Gulf/HOU vs. Cushing share story (HOU deliveries running 2–3x Cushing), and the ADV/OI figures ICE publishes in its supplement.</w:t>
      </w:r>
    </w:p>
    <w:bookmarkEnd w:id="13"/>
    <w:bookmarkStart w:id="14" w:name="X1f6084e1d87419e80ceeb1775f1f81b313b1381"/>
    <w:p>
      <w:pPr>
        <w:pStyle w:val="Heading3"/>
      </w:pPr>
      <w:r>
        <w:t xml:space="preserve">2) Interest-rate complex — the Fed is a live wire</w:t>
      </w:r>
    </w:p>
    <w:p>
      <w:pPr>
        <w:pStyle w:val="FirstParagraph"/>
      </w:pPr>
      <w:r>
        <w:t xml:space="preserve">With markets pricing a real chance of the first hike in years and "the greatest level of uncertainty around a Fed decision in years," rate-hedging demand (SONIA, Euribor, SOFR/Fed Funds) should stay elevated. Q1 rate revenue grew ~70% with OI +63%. This is a clean tailwind — watch for continued records and management framing around structural (not just cyclical) expansion.</w:t>
      </w:r>
    </w:p>
    <w:bookmarkEnd w:id="14"/>
    <w:bookmarkStart w:id="15" w:name="X2ca29dd9289575e02ed2c67321e6ddf00bad20d"/>
    <w:p>
      <w:pPr>
        <w:pStyle w:val="Heading3"/>
      </w:pPr>
      <w:r>
        <w:t xml:space="preserve">3) FIDS — is the recurring-revenue acceleration durable?</w:t>
      </w:r>
    </w:p>
    <w:p>
      <w:pPr>
        <w:pStyle w:val="FirstParagraph"/>
      </w:pPr>
      <w:r>
        <w:t xml:space="preserve">FIDS recurring growth has stair-stepped from ~5% to ~9% over five quarters. Two things to monitor:</w:t>
      </w:r>
    </w:p>
    <w:p>
      <w:pPr>
        <w:pStyle w:val="Compact"/>
        <w:numPr>
          <w:ilvl w:val="0"/>
          <w:numId w:val="1004"/>
        </w:numPr>
      </w:pPr>
      <w:r>
        <w:rPr>
          <w:b/>
          <w:bCs/>
        </w:rPr>
        <w:t xml:space="preserve">The data-center comp:</w:t>
      </w:r>
      <w:r>
        <w:t xml:space="preserve"> </w:t>
      </w:r>
      <w:r>
        <w:t xml:space="preserve">CFO Gardiner flagged that Mahwah "Hall 5" leasing benefits fade in H2, so Data &amp; Network Technology growth (double-digit in Q1) may moderate before Hall 6/7 come online — timing, not structural.</w:t>
      </w:r>
    </w:p>
    <w:p>
      <w:pPr>
        <w:pStyle w:val="Compact"/>
        <w:numPr>
          <w:ilvl w:val="0"/>
          <w:numId w:val="1004"/>
        </w:numPr>
      </w:pPr>
      <w:r>
        <w:rPr>
          <w:b/>
          <w:bCs/>
        </w:rPr>
        <w:t xml:space="preserve">Index AUM:</w:t>
      </w:r>
      <w:r>
        <w:t xml:space="preserve"> </w:t>
      </w:r>
      <w:r>
        <w:t xml:space="preserve">market-sensitive, was a tailwind in H1; any equity wobble could trim it. Also watch early traction on new data products (Polymarket signals, private-credit reference data).</w:t>
      </w:r>
    </w:p>
    <w:bookmarkEnd w:id="15"/>
    <w:bookmarkStart w:id="16" w:name="Xcd0d075dd8162f920f98cac0f4b0330daa63e0c"/>
    <w:p>
      <w:pPr>
        <w:pStyle w:val="Heading3"/>
      </w:pPr>
      <w:r>
        <w:t xml:space="preserve">4) Mortgage — the crosscurrent to respect</w:t>
      </w:r>
    </w:p>
    <w:p>
      <w:pPr>
        <w:pStyle w:val="FirstParagraph"/>
      </w:pPr>
      <w:r>
        <w:t xml:space="preserve">Q1's mortgage strength was partly</w:t>
      </w:r>
      <w:r>
        <w:t xml:space="preserve"> </w:t>
      </w:r>
      <w:r>
        <w:rPr>
          <w:b/>
          <w:bCs/>
        </w:rPr>
        <w:t xml:space="preserve">refi-driven</w:t>
      </w:r>
      <w:r>
        <w:t xml:space="preserve"> </w:t>
      </w:r>
      <w:r>
        <w:t xml:space="preserve">(Closing Solutions, Encompass closed-loan overages). If the Fed hikes or long rates stay high, that refi tailwind can reverse quickly, pressuring transaction revenue even as recurring holds. Offsets to watch:</w:t>
      </w:r>
    </w:p>
    <w:p>
      <w:pPr>
        <w:pStyle w:val="Compact"/>
        <w:numPr>
          <w:ilvl w:val="0"/>
          <w:numId w:val="1005"/>
        </w:numPr>
      </w:pPr>
      <w:r>
        <w:t xml:space="preserve">Recurring revenue normalization now that most 2020/21 Encompass renewal headwinds are behind (Q1 had ~$4M one-time; management guided Q2 recurring "around current levels").</w:t>
      </w:r>
    </w:p>
    <w:p>
      <w:pPr>
        <w:pStyle w:val="Compact"/>
        <w:numPr>
          <w:ilvl w:val="0"/>
          <w:numId w:val="1005"/>
        </w:numPr>
      </w:pPr>
      <w:r>
        <w:t xml:space="preserve">New go-lives/cross-sell (JPMorgan ramp, UWM live, M&amp;T, plus the newly-signed Huntington Encompass deal); potential Basel/MSR tailwind pulling banks back into servicing.</w:t>
      </w:r>
    </w:p>
    <w:bookmarkEnd w:id="16"/>
    <w:bookmarkStart w:id="17" w:name="Xa83d6a4d38aa1b8b7f7821b2ffafebd2a444361"/>
    <w:p>
      <w:pPr>
        <w:pStyle w:val="Heading3"/>
      </w:pPr>
      <w:r>
        <w:t xml:space="preserve">5) Guidance &amp; the model — the checklist</w:t>
      </w:r>
    </w:p>
    <w:p>
      <w:pPr>
        <w:pStyle w:val="FirstParagraph"/>
      </w:pPr>
      <w:r>
        <w:t xml:space="preserve">Against management's own Q2 guide given in April:</w:t>
      </w:r>
    </w:p>
    <w:p>
      <w:pPr>
        <w:pStyle w:val="Compact"/>
        <w:numPr>
          <w:ilvl w:val="0"/>
          <w:numId w:val="1006"/>
        </w:numPr>
      </w:pPr>
      <w:r>
        <w:rPr>
          <w:b/>
          <w:bCs/>
        </w:rPr>
        <w:t xml:space="preserve">Adjusted opex: $1.030–1.040B</w:t>
      </w:r>
      <w:r>
        <w:t xml:space="preserve"> </w:t>
      </w:r>
      <w:r>
        <w:t xml:space="preserve">(flat vs. Q1's $1.035B). Watch for any raise tied to performance-linked comp/license fees — these have been offsetting via revenue.</w:t>
      </w:r>
    </w:p>
    <w:p>
      <w:pPr>
        <w:pStyle w:val="Compact"/>
        <w:numPr>
          <w:ilvl w:val="0"/>
          <w:numId w:val="1006"/>
        </w:numPr>
      </w:pPr>
      <w:r>
        <w:rPr>
          <w:b/>
          <w:bCs/>
        </w:rPr>
        <w:t xml:space="preserve">Adjusted non-operating expense: $180–185M.</w:t>
      </w:r>
    </w:p>
    <w:p>
      <w:pPr>
        <w:pStyle w:val="Compact"/>
        <w:numPr>
          <w:ilvl w:val="0"/>
          <w:numId w:val="1006"/>
        </w:numPr>
      </w:pPr>
      <w:r>
        <w:rPr>
          <w:b/>
          <w:bCs/>
        </w:rPr>
        <w:t xml:space="preserve">Diluted share count: 565–571M.</w:t>
      </w:r>
    </w:p>
    <w:p>
      <w:pPr>
        <w:pStyle w:val="Compact"/>
        <w:numPr>
          <w:ilvl w:val="0"/>
          <w:numId w:val="1006"/>
        </w:numPr>
      </w:pPr>
      <w:r>
        <w:t xml:space="preserve">Full-year adj. opex guide: $4.145–4.195B. A raise here would likely be "good" (revenue-driven), but investors will parse it.</w:t>
      </w:r>
    </w:p>
    <w:p>
      <w:pPr>
        <w:pStyle w:val="FirstParagraph"/>
      </w:pPr>
      <w:r>
        <w:rPr>
          <w:b/>
          <w:bCs/>
        </w:rPr>
        <w:t xml:space="preserve">Year-ago Q2'25 baseline to beat:</w:t>
      </w:r>
      <w:r>
        <w:t xml:space="preserve"> </w:t>
      </w:r>
      <w:r>
        <w:t xml:space="preserve">net rev</w:t>
      </w:r>
      <w:r>
        <w:t xml:space="preserve"> </w:t>
      </w:r>
      <m:oMath>
        <m:r>
          <m:t>2.543</m:t>
        </m:r>
        <m:r>
          <m:t>B</m:t>
        </m:r>
        <m:r>
          <m:rPr>
            <m:sty m:val="p"/>
          </m:rPr>
          <m:t>*</m:t>
        </m:r>
        <m:r>
          <m:rPr>
            <m:sty m:val="p"/>
          </m:rPr>
          <m:t>*</m:t>
        </m:r>
        <m:r>
          <m:rPr>
            <m:sty m:val="p"/>
          </m:rPr>
          <m:t>,</m:t>
        </m:r>
        <m:r>
          <m:t>a</m:t>
        </m:r>
        <m:r>
          <m:t>d</m:t>
        </m:r>
        <m:r>
          <m:t>j</m:t>
        </m:r>
        <m:r>
          <m:rPr>
            <m:sty m:val="p"/>
          </m:rPr>
          <m:t>.</m:t>
        </m:r>
        <m:r>
          <m:t>E</m:t>
        </m:r>
        <m:r>
          <m:t>P</m:t>
        </m:r>
        <m:r>
          <m:t>S</m:t>
        </m:r>
        <m:r>
          <m:rPr>
            <m:sty m:val="p"/>
          </m:rPr>
          <m:t>*</m:t>
        </m:r>
        <m:r>
          <m:rPr>
            <m:sty m:val="p"/>
          </m:rPr>
          <m:t>*</m:t>
        </m:r>
      </m:oMath>
      <w:r>
        <w:rPr>
          <w:b/>
          <w:bCs/>
        </w:rPr>
        <w:t xml:space="preserve">1.81</w:t>
      </w:r>
      <w:r>
        <w:t xml:space="preserve">, exchange net rev $1,415M, FIDS $597M, mortgage $531M. Given Q1'26 ran at $2.35 adj. EPS with the energy/rates tailwind carrying into Q2, expect another quarter of strong double-digit EPS growth to be the market's assumption — the debate is the</w:t>
      </w:r>
      <w:r>
        <w:t xml:space="preserve"> </w:t>
      </w:r>
      <w:r>
        <w:rPr>
          <w:i/>
          <w:iCs/>
        </w:rPr>
        <w:t xml:space="preserve">magnitude</w:t>
      </w:r>
      <w:r>
        <w:t xml:space="preserve"> </w:t>
      </w:r>
      <w:r>
        <w:t xml:space="preserve">and the</w:t>
      </w:r>
      <w:r>
        <w:t xml:space="preserve"> </w:t>
      </w:r>
      <w:r>
        <w:rPr>
          <w:i/>
          <w:iCs/>
        </w:rPr>
        <w:t xml:space="preserve">quality/sustainability</w:t>
      </w:r>
      <w:r>
        <w:t xml:space="preserve"> </w:t>
      </w:r>
      <w:r>
        <w:t xml:space="preserve">of energy transaction revenue.</w:t>
      </w:r>
    </w:p>
    <w:bookmarkEnd w:id="17"/>
    <w:bookmarkStart w:id="18" w:name="X48231b1d2d9670dbcca3561e0194c5341a0a8ca"/>
    <w:p>
      <w:pPr>
        <w:pStyle w:val="Heading3"/>
      </w:pPr>
      <w:r>
        <w:t xml:space="preserve">6) Capital return</w:t>
      </w:r>
    </w:p>
    <w:p>
      <w:pPr>
        <w:pStyle w:val="FirstParagraph"/>
      </w:pPr>
      <w:r>
        <w:t xml:space="preserve">Q1 returned ~</w:t>
      </w:r>
      <m:oMath>
        <m:r>
          <m:t>848</m:t>
        </m:r>
        <m:r>
          <m:t>M</m:t>
        </m:r>
        <m:r>
          <m:rPr>
            <m:sty m:val="p"/>
          </m:rPr>
          <m:t>(</m:t>
        </m:r>
        <m:r>
          <m:t> </m:t>
        </m:r>
      </m:oMath>
      <w:r>
        <w:t xml:space="preserve">551M buybacks +</w:t>
      </w:r>
      <w:r>
        <w:t xml:space="preserve"> </w:t>
      </w:r>
      <m:oMath>
        <m:r>
          <m:t>297</m:t>
        </m:r>
        <m:r>
          <m:t>M</m:t>
        </m:r>
        <m:r>
          <m:t>d</m:t>
        </m:r>
        <m:r>
          <m:t>i</m:t>
        </m:r>
        <m:r>
          <m:t>v</m:t>
        </m:r>
        <m:r>
          <m:t>i</m:t>
        </m:r>
        <m:r>
          <m:t>d</m:t>
        </m:r>
        <m:r>
          <m:t>e</m:t>
        </m:r>
        <m:r>
          <m:t>n</m:t>
        </m:r>
        <m:r>
          <m:t>d</m:t>
        </m:r>
        <m:r>
          <m:t>s</m:t>
        </m:r>
        <m:r>
          <m:rPr>
            <m:sty m:val="p"/>
          </m:rPr>
          <m:t>)</m:t>
        </m:r>
        <m:r>
          <m:rPr>
            <m:sty m:val="p"/>
          </m:rPr>
          <m:t>,</m:t>
        </m:r>
        <m:r>
          <m:t>w</m:t>
        </m:r>
        <m:r>
          <m:t>i</m:t>
        </m:r>
        <m:r>
          <m:t>t</m:t>
        </m:r>
        <m:r>
          <m:t>h</m:t>
        </m:r>
        <m:r>
          <m:t>l</m:t>
        </m:r>
        <m:r>
          <m:t>e</m:t>
        </m:r>
        <m:r>
          <m:t>v</m:t>
        </m:r>
        <m:r>
          <m:t>e</m:t>
        </m:r>
        <m:r>
          <m:t>r</m:t>
        </m:r>
        <m:r>
          <m:t>a</m:t>
        </m:r>
        <m:r>
          <m:t>g</m:t>
        </m:r>
        <m:r>
          <m:t>e</m:t>
        </m:r>
        <m:r>
          <m:t>i</m:t>
        </m:r>
        <m:r>
          <m:t>n</m:t>
        </m:r>
        <m:r>
          <m:t>s</m:t>
        </m:r>
        <m:r>
          <m:t>i</m:t>
        </m:r>
        <m:r>
          <m:t>d</m:t>
        </m:r>
        <m:r>
          <m:t>e</m:t>
        </m:r>
        <m:r>
          <m:t>t</m:t>
        </m:r>
        <m:r>
          <m:t>a</m:t>
        </m:r>
        <m:r>
          <m:t>r</m:t>
        </m:r>
        <m:r>
          <m:t>g</m:t>
        </m:r>
        <m:r>
          <m:t>e</m:t>
        </m:r>
        <m:r>
          <m:t>t</m:t>
        </m:r>
        <m:r>
          <m:t>a</m:t>
        </m:r>
        <m:r>
          <m:t>n</m:t>
        </m:r>
        <m:r>
          <m:t>d</m:t>
        </m:r>
        <m:r>
          <m:t> </m:t>
        </m:r>
      </m:oMath>
      <w:r>
        <w:t xml:space="preserve">1.2B quarterly adjusted FCF. Watch buyback pace — management explicitly frames repurchases as competing "M&amp;A" against the stock's valuation, and they leaned in during the February drawdown. With shares having been at ~</w:t>
      </w:r>
      <m:oMath>
        <m:r>
          <m:t>123</m:t>
        </m:r>
        <m:r>
          <m:t>i</m:t>
        </m:r>
        <m:r>
          <m:t>n</m:t>
        </m:r>
        <m:r>
          <m:t>J</m:t>
        </m:r>
        <m:r>
          <m:t>u</m:t>
        </m:r>
        <m:r>
          <m:t>n</m:t>
        </m:r>
        <m:r>
          <m:t>e</m:t>
        </m:r>
        <m:r>
          <m:rPr>
            <m:sty m:val="p"/>
          </m:rPr>
          <m:t>,</m:t>
        </m:r>
        <m:r>
          <m:t>a</m:t>
        </m:r>
        <m:r>
          <m:t>n</m:t>
        </m:r>
        <m:r>
          <m:t>o</m:t>
        </m:r>
        <m:r>
          <m:t>t</m:t>
        </m:r>
        <m:r>
          <m:t>h</m:t>
        </m:r>
        <m:r>
          <m:t>e</m:t>
        </m:r>
        <m:r>
          <m:t>r</m:t>
        </m:r>
        <m:r>
          <m:t>o</m:t>
        </m:r>
        <m:r>
          <m:t>p</m:t>
        </m:r>
        <m:r>
          <m:t>p</m:t>
        </m:r>
        <m:r>
          <m:t>o</m:t>
        </m:r>
        <m:r>
          <m:t>r</m:t>
        </m:r>
        <m:r>
          <m:t>t</m:t>
        </m:r>
        <m:r>
          <m:t>u</m:t>
        </m:r>
        <m:r>
          <m:t>n</m:t>
        </m:r>
        <m:r>
          <m:t>i</m:t>
        </m:r>
        <m:r>
          <m:t>s</m:t>
        </m:r>
        <m:r>
          <m:t>t</m:t>
        </m:r>
        <m:r>
          <m:t>i</m:t>
        </m:r>
        <m:r>
          <m:t>c</m:t>
        </m:r>
        <m:r>
          <m:t>q</m:t>
        </m:r>
        <m:r>
          <m:t>u</m:t>
        </m:r>
        <m:r>
          <m:t>a</m:t>
        </m:r>
        <m:r>
          <m:t>r</m:t>
        </m:r>
        <m:r>
          <m:t>t</m:t>
        </m:r>
        <m:r>
          <m:t>e</m:t>
        </m:r>
        <m:r>
          <m:t>r</m:t>
        </m:r>
        <m:r>
          <m:t>i</m:t>
        </m:r>
        <m:r>
          <m:t>s</m:t>
        </m:r>
        <m:r>
          <m:t>p</m:t>
        </m:r>
        <m:r>
          <m:t>l</m:t>
        </m:r>
        <m:r>
          <m:t>a</m:t>
        </m:r>
        <m:r>
          <m:t>u</m:t>
        </m:r>
        <m:r>
          <m:t>s</m:t>
        </m:r>
        <m:r>
          <m:t>i</m:t>
        </m:r>
        <m:r>
          <m:t>b</m:t>
        </m:r>
        <m:r>
          <m:t>l</m:t>
        </m:r>
        <m:r>
          <m:t>e</m:t>
        </m:r>
        <m:r>
          <m:rPr>
            <m:sty m:val="p"/>
          </m:rPr>
          <m:t>.</m:t>
        </m:r>
        <m:r>
          <m:t>D</m:t>
        </m:r>
        <m:r>
          <m:t>e</m:t>
        </m:r>
        <m:r>
          <m:t>b</m:t>
        </m:r>
        <m:r>
          <m:t>t</m:t>
        </m:r>
        <m:r>
          <m:t>w</m:t>
        </m:r>
        <m:r>
          <m:t>a</m:t>
        </m:r>
        <m:r>
          <m:t>s</m:t>
        </m:r>
        <m:r>
          <m:t> </m:t>
        </m:r>
      </m:oMath>
      <w:r>
        <w:t xml:space="preserve">20.4B at Q1.</w:t>
      </w:r>
    </w:p>
    <w:bookmarkEnd w:id="18"/>
    <w:bookmarkStart w:id="19" w:name="X32d4f95491dce56458cdf9b04797d1d8dc683bc"/>
    <w:p>
      <w:pPr>
        <w:pStyle w:val="Heading3"/>
      </w:pPr>
      <w:r>
        <w:t xml:space="preserve">7) Strategic optionality (increasingly the narrative premium)</w:t>
      </w:r>
    </w:p>
    <w:p>
      <w:pPr>
        <w:pStyle w:val="FirstParagraph"/>
      </w:pPr>
      <w:r>
        <w:t xml:space="preserve">Not P&amp;L-moving yet, but heavily discussed and worth listening for updates:</w:t>
      </w:r>
    </w:p>
    <w:p>
      <w:pPr>
        <w:pStyle w:val="Compact"/>
        <w:numPr>
          <w:ilvl w:val="0"/>
          <w:numId w:val="1007"/>
        </w:numPr>
      </w:pPr>
      <w:r>
        <w:rPr>
          <w:b/>
          <w:bCs/>
        </w:rPr>
        <w:t xml:space="preserve">Tokenization:</w:t>
      </w:r>
      <w:r>
        <w:t xml:space="preserve"> </w:t>
      </w:r>
      <w:r>
        <w:t xml:space="preserve">NYSE tokenized-securities platform (Pillar matching + blockchain settlement, 24/7), pursuing approval under</w:t>
      </w:r>
      <w:r>
        <w:t xml:space="preserve"> </w:t>
      </w:r>
      <w:r>
        <w:rPr>
          <w:i/>
          <w:iCs/>
        </w:rPr>
        <w:t xml:space="preserve">existing</w:t>
      </w:r>
      <w:r>
        <w:t xml:space="preserve"> </w:t>
      </w:r>
      <w:r>
        <w:t xml:space="preserve">law; Securitize MOU as first digital transfer agent.</w:t>
      </w:r>
    </w:p>
    <w:p>
      <w:pPr>
        <w:pStyle w:val="Compact"/>
        <w:numPr>
          <w:ilvl w:val="0"/>
          <w:numId w:val="1007"/>
        </w:numPr>
      </w:pPr>
      <w:r>
        <w:rPr>
          <w:b/>
          <w:bCs/>
        </w:rPr>
        <w:t xml:space="preserve">Prediction markets / crypto:</w:t>
      </w:r>
      <w:r>
        <w:t xml:space="preserve"> </w:t>
      </w:r>
      <w:r>
        <w:t xml:space="preserve">Polymarket (data + on-chain settlement collaboration) and OKX (120M+ users, pathway to regulated crypto futures). Note the competitive backdrop — BGC/Fanatics just entered prediction markets.</w:t>
      </w:r>
    </w:p>
    <w:p>
      <w:pPr>
        <w:pStyle w:val="Compact"/>
        <w:numPr>
          <w:ilvl w:val="0"/>
          <w:numId w:val="1007"/>
        </w:numPr>
      </w:pPr>
      <w:r>
        <w:rPr>
          <w:b/>
          <w:bCs/>
        </w:rPr>
        <w:t xml:space="preserve">ICE Private Credit Intelligence</w:t>
      </w:r>
      <w:r>
        <w:t xml:space="preserve"> </w:t>
      </w:r>
      <w:r>
        <w:t xml:space="preserve">with Apollo as anchor — building the reference-data "utility" layer for private credit (the TTF playbook).</w:t>
      </w:r>
    </w:p>
    <w:p>
      <w:pPr>
        <w:pStyle w:val="Compact"/>
        <w:numPr>
          <w:ilvl w:val="0"/>
          <w:numId w:val="1007"/>
        </w:numPr>
      </w:pPr>
      <w:r>
        <w:rPr>
          <w:b/>
          <w:bCs/>
        </w:rPr>
        <w:t xml:space="preserve">Treasury clearing</w:t>
      </w:r>
      <w:r>
        <w:t xml:space="preserve"> </w:t>
      </w:r>
      <w:r>
        <w:t xml:space="preserve">live post-SEC approval (Feb), with repo rulebook being built ahead of mandate.</w:t>
      </w:r>
    </w:p>
    <w:p>
      <w:pPr>
        <w:pStyle w:val="Compact"/>
        <w:numPr>
          <w:ilvl w:val="0"/>
          <w:numId w:val="1007"/>
        </w:numPr>
      </w:pPr>
      <w:r>
        <w:rPr>
          <w:b/>
          <w:bCs/>
        </w:rPr>
        <w:t xml:space="preserve">AI/data:</w:t>
      </w:r>
      <w:r>
        <w:t xml:space="preserve"> </w:t>
      </w:r>
      <w:r>
        <w:t xml:space="preserve">MCP server for non-proprietary data, workflow-outcome (vs. seat) pricing thesis, and the argument that AI</w:t>
      </w:r>
      <w:r>
        <w:t xml:space="preserve"> </w:t>
      </w:r>
      <w:r>
        <w:rPr>
          <w:i/>
          <w:iCs/>
        </w:rPr>
        <w:t xml:space="preserve">increases</w:t>
      </w:r>
      <w:r>
        <w:t xml:space="preserve"> </w:t>
      </w:r>
      <w:r>
        <w:t xml:space="preserve">demand for proprietary inference data.</w:t>
      </w:r>
    </w:p>
    <w:p>
      <w:r>
        <w:pict>
          <v:rect style="width:0;height:1.5pt" o:hralign="center" o:hrstd="t" o:hr="t"/>
        </w:pict>
      </w:r>
    </w:p>
    <w:bookmarkEnd w:id="19"/>
    <w:bookmarkEnd w:id="20"/>
    <w:bookmarkStart w:id="21" w:name="key-risks--bear-watch-items"/>
    <w:p>
      <w:pPr>
        <w:pStyle w:val="Heading2"/>
      </w:pPr>
      <w:r>
        <w:t xml:space="preserve">Key risks / bear watch-items</w:t>
      </w:r>
    </w:p>
    <w:p>
      <w:pPr>
        <w:pStyle w:val="Compact"/>
        <w:numPr>
          <w:ilvl w:val="0"/>
          <w:numId w:val="1008"/>
        </w:numPr>
      </w:pPr>
      <w:r>
        <w:rPr>
          <w:b/>
          <w:bCs/>
        </w:rPr>
        <w:t xml:space="preserve">Energy mean-reversion:</w:t>
      </w:r>
      <w:r>
        <w:t xml:space="preserve"> </w:t>
      </w:r>
      <w:r>
        <w:t xml:space="preserve">if the Middle East de-escalates (oil fell ~2% on any ceasefire hopes), volumes/OI could roll over fast — the market may treat any energy softness as peak-cycle.</w:t>
      </w:r>
    </w:p>
    <w:p>
      <w:pPr>
        <w:pStyle w:val="Compact"/>
        <w:numPr>
          <w:ilvl w:val="0"/>
          <w:numId w:val="1008"/>
        </w:numPr>
      </w:pPr>
      <w:r>
        <w:rPr>
          <w:b/>
          <w:bCs/>
        </w:rPr>
        <w:t xml:space="preserve">Rate-hike collateral damage to mortgage:</w:t>
      </w:r>
      <w:r>
        <w:t xml:space="preserve"> </w:t>
      </w:r>
      <w:r>
        <w:t xml:space="preserve">higher-for-longer/hiking kills refi, the very driver of Q1's transaction upside.</w:t>
      </w:r>
    </w:p>
    <w:p>
      <w:pPr>
        <w:pStyle w:val="Compact"/>
        <w:numPr>
          <w:ilvl w:val="0"/>
          <w:numId w:val="1008"/>
        </w:numPr>
      </w:pPr>
      <w:r>
        <w:rPr>
          <w:b/>
          <w:bCs/>
        </w:rPr>
        <w:t xml:space="preserve">Expensive expectations:</w:t>
      </w:r>
      <w:r>
        <w:t xml:space="preserve"> </w:t>
      </w:r>
      <w:r>
        <w:t xml:space="preserve">the ~8% pre-print pop and the CBOE-relative underperformance narrative mean a "good but in-line" energy quarter could disappoint.</w:t>
      </w:r>
    </w:p>
    <w:p>
      <w:pPr>
        <w:pStyle w:val="Compact"/>
        <w:numPr>
          <w:ilvl w:val="0"/>
          <w:numId w:val="1008"/>
        </w:numPr>
      </w:pPr>
      <w:r>
        <w:rPr>
          <w:b/>
          <w:bCs/>
        </w:rPr>
        <w:t xml:space="preserve">Data-center/AUM comps</w:t>
      </w:r>
      <w:r>
        <w:t xml:space="preserve"> </w:t>
      </w:r>
      <w:r>
        <w:t xml:space="preserve">getting tougher in H2, capping FIDS optics.</w:t>
      </w:r>
    </w:p>
    <w:p>
      <w:pPr>
        <w:pStyle w:val="Compact"/>
        <w:numPr>
          <w:ilvl w:val="0"/>
          <w:numId w:val="1008"/>
        </w:numPr>
      </w:pPr>
      <w:r>
        <w:t xml:space="preserve">Cross-read caution: S&amp;P Global just</w:t>
      </w:r>
      <w:r>
        <w:t xml:space="preserve"> </w:t>
      </w:r>
      <w:r>
        <w:rPr>
          <w:i/>
          <w:iCs/>
        </w:rPr>
        <w:t xml:space="preserve">missed</w:t>
      </w:r>
      <w:r>
        <w:t xml:space="preserve">, partly citing the Iran war making energy-data pricing harder — though ICE monetizes</w:t>
      </w:r>
      <w:r>
        <w:t xml:space="preserve"> </w:t>
      </w:r>
      <w:r>
        <w:rPr>
          <w:i/>
          <w:iCs/>
        </w:rPr>
        <w:t xml:space="preserve">trading volume</w:t>
      </w:r>
      <w:r>
        <w:t xml:space="preserve"> </w:t>
      </w:r>
      <w:r>
        <w:t xml:space="preserve">rather than data pricing, so its exposure runs the other way.</w:t>
      </w:r>
    </w:p>
    <w:bookmarkEnd w:id="21"/>
    <w:bookmarkStart w:id="22" w:name="bottom-line"/>
    <w:p>
      <w:pPr>
        <w:pStyle w:val="Heading2"/>
      </w:pPr>
      <w:r>
        <w:t xml:space="preserve">Bottom line</w:t>
      </w:r>
    </w:p>
    <w:p>
      <w:pPr>
        <w:pStyle w:val="FirstParagraph"/>
      </w:pPr>
      <w:r>
        <w:t xml:space="preserve">ICE is heading into Q2 with the wind at its back on its two most powerful transaction engines (energy and rates) and a recurring-revenue base that keeps compounding. The likely outcome is another record quarter with double-digit EPS growth. The stock reaction, however, will hinge less on the headline beat and more on three forward-looking questions:</w:t>
      </w:r>
      <w:r>
        <w:t xml:space="preserve"> </w:t>
      </w:r>
      <w:r>
        <w:rPr>
          <w:b/>
          <w:bCs/>
        </w:rPr>
        <w:t xml:space="preserve">(1)</w:t>
      </w:r>
      <w:r>
        <w:t xml:space="preserve"> </w:t>
      </w:r>
      <w:r>
        <w:t xml:space="preserve">did energy open interest</w:t>
      </w:r>
      <w:r>
        <w:t xml:space="preserve"> </w:t>
      </w:r>
      <w:r>
        <w:rPr>
          <w:i/>
          <w:iCs/>
        </w:rPr>
        <w:t xml:space="preserve">hold</w:t>
      </w:r>
      <w:r>
        <w:t xml:space="preserve"> </w:t>
      </w:r>
      <w:r>
        <w:t xml:space="preserve">after the March blow-off (sustainability vs. exhaustion),</w:t>
      </w:r>
      <w:r>
        <w:t xml:space="preserve"> </w:t>
      </w:r>
      <w:r>
        <w:rPr>
          <w:b/>
          <w:bCs/>
        </w:rPr>
        <w:t xml:space="preserve">(2)</w:t>
      </w:r>
      <w:r>
        <w:t xml:space="preserve"> </w:t>
      </w:r>
      <w:r>
        <w:t xml:space="preserve">how management frames a possible Fed hike as both a rates tailwind and a mortgage headwind, and</w:t>
      </w:r>
      <w:r>
        <w:t xml:space="preserve"> </w:t>
      </w:r>
      <w:r>
        <w:rPr>
          <w:b/>
          <w:bCs/>
        </w:rPr>
        <w:t xml:space="preserve">(3)</w:t>
      </w:r>
      <w:r>
        <w:t xml:space="preserve"> </w:t>
      </w:r>
      <w:r>
        <w:t xml:space="preserve">whether guidance and buyback commentary signal confidence that the current run-rate is durable rather than a one-off volatility windfall. Given the recent bounce, the setup rewards a "beat-and-sustain," not just a "beat."</w:t>
      </w:r>
    </w:p>
    <w:p>
      <w:pPr>
        <w:pStyle w:val="BodyText"/>
      </w:pPr>
      <w:r>
        <w:rPr>
          <w:i/>
          <w:iCs/>
        </w:rPr>
        <w:t xml:space="preserve">Sources: ICE Q1 2026 earnings call transcript and release (4/30/26); Q2 2025 earnings release (7/31/25); market pricing (1/2–7/29/26); daily macro/energy/Fed news digests (7/24–7/29/26). This is an informational preview, not investment advice.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2026-07-29T18:04:37Z</dcterms:created>
  <dcterms:modified xsi:type="dcterms:W3CDTF">2026-07-29T18:04:37Z</dcterms:modified>
</cp:coreProperties>
</file>

<file path=docProps/custom.xml><?xml version="1.0" encoding="utf-8"?>
<Properties xmlns="http://schemas.openxmlformats.org/officeDocument/2006/custom-properties" xmlns:vt="http://schemas.openxmlformats.org/officeDocument/2006/docPropsVTypes"/>
</file>