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0ae0c5f90a2f6f96af29274266692664739292b"/>
    <w:p>
      <w:pPr>
        <w:pStyle w:val="Heading1"/>
      </w:pPr>
      <w:r>
        <w:t xml:space="preserve">Intercontinental Exchange (ICE) — 2Q26 Earnings Preview</w:t>
      </w:r>
    </w:p>
    <w:p>
      <w:pPr>
        <w:pStyle w:val="FirstParagraph"/>
      </w:pPr>
      <w:r>
        <w:rPr>
          <w:b/>
          <w:bCs/>
        </w:rPr>
        <w:t xml:space="preserve">Report Date:</w:t>
      </w:r>
      <w:r>
        <w:t xml:space="preserve"> </w:t>
      </w:r>
      <w:r>
        <w:t xml:space="preserve">Thursday, July 30, 2026, before market open | Call at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ICE enters tomorrow's report on the back of what management called "the strongest quarter in ICE's history" in Q1 2026 — a period supercharged by the U.S.-Iran conflict that broke out in late February and triggered a global energy-and-rates volatility shock. That creates a genuinely tough compare for Q2: the Street is bracing for a sharp deceleration in reported growth even as underlying activity remains elevated versus a year ago.</w:t>
      </w:r>
    </w:p>
    <w:p>
      <w:pPr>
        <w:pStyle w:val="BodyText"/>
      </w:pPr>
      <w:r>
        <w:rPr>
          <w:b/>
          <w:bCs/>
        </w:rPr>
        <w:t xml:space="preserve">Stock price action:</w:t>
      </w:r>
      <w:r>
        <w:t xml:space="preserve"> </w:t>
      </w:r>
      <w:r>
        <w:t xml:space="preserve">ICE shares have been volatile since the Q1 print, falling from the mid-$170s in early February to a 52-week low near</w:t>
      </w:r>
      <w:r>
        <w:t xml:space="preserve"> </w:t>
      </w:r>
      <m:oMath>
        <m:r>
          <m:t>122</m:t>
        </m:r>
        <m:r>
          <m:rPr>
            <m:sty m:val="p"/>
          </m:rPr>
          <m:t>−</m:t>
        </m:r>
      </m:oMath>
      <w:r>
        <w:t xml:space="preserve">124 in late June, before staging a strong recovery to roughly</w:t>
      </w:r>
      <w:r>
        <w:t xml:space="preserve"> </w:t>
      </w:r>
      <w:r>
        <w:rPr>
          <w:b/>
          <w:bCs/>
        </w:rPr>
        <w:t xml:space="preserve">$154.5</w:t>
      </w:r>
      <w:r>
        <w:t xml:space="preserve"> </w:t>
      </w:r>
      <w:r>
        <w:t xml:space="preserve">heading into earnings (a 24%+ rally off the June bottom). The June swoon coincided with sector-wide pressure on exchange operators tied to the CFTC's approval of Bitcoin perpetual futures on Kalshi, which raised competitive concerns for CME, Cboe, ICE and Nasdaq alike, and a broader downward drift in analyst estimates.</w:t>
      </w:r>
    </w:p>
    <w:bookmarkEnd w:id="9"/>
    <w:bookmarkStart w:id="10" w:name="consensus-expectations"/>
    <w:p>
      <w:pPr>
        <w:pStyle w:val="Heading2"/>
      </w:pPr>
      <w:r>
        <w:t xml:space="preserve">Consensus Expectations</w:t>
      </w:r>
    </w:p>
    <w:p>
      <w:pPr>
        <w:pStyle w:val="Compact"/>
        <w:numPr>
          <w:ilvl w:val="0"/>
          <w:numId w:val="1001"/>
        </w:numPr>
      </w:pPr>
      <w:r>
        <w:rPr>
          <w:b/>
          <w:bCs/>
        </w:rPr>
        <w:t xml:space="preserve">Revenue:</w:t>
      </w:r>
      <w:r>
        <w:t xml:space="preserve"> </w:t>
      </w:r>
      <w:r>
        <w:t xml:space="preserve">~$2.6–2.7 billion, roughly</w:t>
      </w:r>
      <w:r>
        <w:t xml:space="preserve"> </w:t>
      </w:r>
      <w:r>
        <w:rPr>
          <w:b/>
          <w:bCs/>
        </w:rPr>
        <w:t xml:space="preserve">+3%</w:t>
      </w:r>
      <w:r>
        <w:t xml:space="preserve"> </w:t>
      </w:r>
      <w:r>
        <w:t xml:space="preserve">year-over-year (vs. +18-20% net revenue growth in Q1)</w:t>
      </w:r>
    </w:p>
    <w:p>
      <w:pPr>
        <w:pStyle w:val="Compact"/>
        <w:numPr>
          <w:ilvl w:val="0"/>
          <w:numId w:val="1001"/>
        </w:numPr>
      </w:pPr>
      <w:r>
        <w:rPr>
          <w:b/>
          <w:bCs/>
        </w:rPr>
        <w:t xml:space="preserve">Adjusted EPS:</w:t>
      </w:r>
      <w:r>
        <w:t xml:space="preserve"> </w:t>
      </w:r>
      <w:r>
        <w:t xml:space="preserve">consensus centers around</w:t>
      </w:r>
      <w:r>
        <w:t xml:space="preserve"> </w:t>
      </w:r>
      <w:r>
        <w:rPr>
          <w:b/>
          <w:bCs/>
        </w:rPr>
        <w:t xml:space="preserve">$1.84</w:t>
      </w:r>
      <w:r>
        <w:t xml:space="preserve">, with estimates ranging from about $1.81 to $1.94 depending on the source, implying only modest ~2% y/y growth against a $1.81 prior-year base</w:t>
      </w:r>
    </w:p>
    <w:p>
      <w:pPr>
        <w:pStyle w:val="Compact"/>
        <w:numPr>
          <w:ilvl w:val="0"/>
          <w:numId w:val="1001"/>
        </w:numPr>
      </w:pPr>
      <w:r>
        <w:t xml:space="preserve">Notably, the EPS consensus has been revised</w:t>
      </w:r>
      <w:r>
        <w:t xml:space="preserve"> </w:t>
      </w:r>
      <w:r>
        <w:rPr>
          <w:b/>
          <w:bCs/>
        </w:rPr>
        <w:t xml:space="preserve">down meaningfully</w:t>
      </w:r>
      <w:r>
        <w:t xml:space="preserve"> </w:t>
      </w:r>
      <w:r>
        <w:t xml:space="preserve">heading into the print — roughly 4% lower over the past month and about 7% lower over the past 90 days, a sustained downward drift the Street frames as reflecting caution around trading-volume normalization, data-pricing competition, and macro headwinds rather than a specific ICE-related shortfall</w:t>
      </w:r>
    </w:p>
    <w:p>
      <w:pPr>
        <w:pStyle w:val="Compact"/>
        <w:numPr>
          <w:ilvl w:val="0"/>
          <w:numId w:val="1001"/>
        </w:numPr>
      </w:pPr>
      <w:r>
        <w:t xml:space="preserve">Segment-level Street estimates point to Exchanges net revenue near $1.45 billion (+~32% y/y, still benefiting from favorable comps in early Q2) and continued double-digit growth in Fixed Income &amp; Data Services</w:t>
      </w:r>
    </w:p>
    <w:p>
      <w:pPr>
        <w:pStyle w:val="FirstParagraph"/>
      </w:pPr>
      <w:r>
        <w:t xml:space="preserve">Investors should treat the "only +2% EPS growth" headline with context: Q1's 37% adjusted EPS growth and record energy/rates volumes set an unusually high bar, and a deceleration to a high-single/low-double digit growth rate off that base would still represent solid underlying performance.</w:t>
      </w:r>
    </w:p>
    <w:bookmarkEnd w:id="10"/>
    <w:bookmarkStart w:id="11" w:name="what-drove-q1--and-whats-different-in-q2"/>
    <w:p>
      <w:pPr>
        <w:pStyle w:val="Heading2"/>
      </w:pPr>
      <w:r>
        <w:t xml:space="preserve">What Drove Q1 — And What's Different in Q2</w:t>
      </w:r>
    </w:p>
    <w:p>
      <w:pPr>
        <w:pStyle w:val="FirstParagraph"/>
      </w:pPr>
      <w:r>
        <w:t xml:space="preserve">Q1 2026 was record-setting across the board: first quarter adjusted earnings per share were $2.35, up 37% year-over-year, and net revenues reached a record $3 billion, up 18%. The Exchanges segment was the standout, with exchange net revenues reaching a record $1.8 billion, up 27% year-over-year, powered by interest rate complex growth of nearly 70% and a 47% jump in the global oil complex as the Iran conflict scrambled rate expectations and energy supply chains.</w:t>
      </w:r>
    </w:p>
    <w:p>
      <w:pPr>
        <w:pStyle w:val="BodyText"/>
      </w:pPr>
      <w:r>
        <w:t xml:space="preserve">Management was careful to stress durability rather than a one-time spike: energy open interest through April remained up 6%, and interest rate open interest stood 63% above year-ago levels, arguing that customers were "building long-term exposure," not simply reacting to headlines. The June trading statistics support a "still elevated, but decelerating" narrative for Q2: total open interest across ICE's markets was up 20% year-over-year in June, with financials/interest-rate open interest hitting fresh records (56.8 million and 53.0 million lots, respectively, on June 11), while energy open interest growth cooled to a more modest single-digit pace versus Q1's outsized spike. That pattern — rates/financials still running hot, energy normalizing — is likely to show up again in the Q2 numbers.</w:t>
      </w:r>
    </w:p>
    <w:bookmarkEnd w:id="11"/>
    <w:bookmarkStart w:id="12" w:name="segment-watch-items"/>
    <w:p>
      <w:pPr>
        <w:pStyle w:val="Heading2"/>
      </w:pPr>
      <w:r>
        <w:t xml:space="preserve">Segment Watch Items</w:t>
      </w:r>
    </w:p>
    <w:p>
      <w:pPr>
        <w:pStyle w:val="FirstParagraph"/>
      </w:pPr>
      <w:r>
        <w:rPr>
          <w:b/>
          <w:bCs/>
        </w:rPr>
        <w:t xml:space="preserve">Exchanges:</w:t>
      </w:r>
      <w:r>
        <w:t xml:space="preserve"> </w:t>
      </w:r>
      <w:r>
        <w:t xml:space="preserve">Watch for how much of the Q1 energy/rates surge persists. Financials (rates) ADV and open interest look to have remained a bright spot into June (ADV +27-29%, OI +46-52% y/y per ICE's June volume report), while energy comparisons get much harder against the March spike. NYSE listings and cash equities/options volumes have also been running well above year-ago levels (NYSE cash equities ADV +32%, equity options ADV +47% in June), a positive read-through for transaction and data/connectivity revenue.</w:t>
      </w:r>
    </w:p>
    <w:p>
      <w:pPr>
        <w:pStyle w:val="BodyText"/>
      </w:pPr>
      <w:r>
        <w:rPr>
          <w:b/>
          <w:bCs/>
        </w:rPr>
        <w:t xml:space="preserve">Fixed Income and Data Services (FIDS):</w:t>
      </w:r>
      <w:r>
        <w:t xml:space="preserve"> </w:t>
      </w:r>
      <w:r>
        <w:t xml:space="preserve">This has been ICE's most consistent grower, with recurring revenue growth of 5%, 6%, 7%, 8% and now 9% over five straight quarters per the Q1 call discussion, and ASV (annual subscription value) of $2.036 billion, up 8.1% y/y as of Q1. CFO Warren Gardiner flagged that comps get tougher in the back half as the company largely finished backfilling data-center capacity (Hall 5) at Mahwah, which should mean</w:t>
      </w:r>
      <w:r>
        <w:t xml:space="preserve"> </w:t>
      </w:r>
      <w:r>
        <w:rPr>
          <w:b/>
          <w:bCs/>
        </w:rPr>
        <w:t xml:space="preserve">lighter sequential growth in Data &amp; Network Technology</w:t>
      </w:r>
      <w:r>
        <w:t xml:space="preserve"> </w:t>
      </w:r>
      <w:r>
        <w:t xml:space="preserve">versus the double-digit pace seen earlier in the year — worth confirming on the call. Index AUM (record $829 billion tracking ICE indices as of Q1) is a swing factor tied to market levels.</w:t>
      </w:r>
    </w:p>
    <w:p>
      <w:pPr>
        <w:pStyle w:val="BodyText"/>
      </w:pPr>
      <w:r>
        <w:rPr>
          <w:b/>
          <w:bCs/>
        </w:rPr>
        <w:t xml:space="preserve">Mortgage Technology:</w:t>
      </w:r>
      <w:r>
        <w:t xml:space="preserve"> </w:t>
      </w:r>
      <w:r>
        <w:t xml:space="preserve">The segment posted its best pro-forma quarter since Q4 2022 in Q1, but recurring revenue included roughly $4 million of one-time items, and management guided that second quarter recurring revenues will remain around current levels. Key threads to watch: continued normalization of Encompass renewal headwinds, transaction revenue upside from per-loan fees exceeding contractual minimums, new client ramps (Huntington Bank, UWM, JPMorgan, M&amp;T), and any incremental commentary on Basel III capital relief for bank-held MSRs, which management flagged as a potential tailwind for the servicing business.</w:t>
      </w:r>
    </w:p>
    <w:bookmarkEnd w:id="12"/>
    <w:bookmarkStart w:id="13" w:name="cost-margin-and-capital-return-framework"/>
    <w:p>
      <w:pPr>
        <w:pStyle w:val="Heading2"/>
      </w:pPr>
      <w:r>
        <w:t xml:space="preserve">Cost, Margin and Capital Return Framework</w:t>
      </w:r>
    </w:p>
    <w:p>
      <w:pPr>
        <w:pStyle w:val="Compact"/>
        <w:numPr>
          <w:ilvl w:val="0"/>
          <w:numId w:val="1002"/>
        </w:numPr>
      </w:pPr>
      <w:r>
        <w:t xml:space="preserve">Q2 adjusted operating expense guidance:</w:t>
      </w:r>
      <w:r>
        <w:t xml:space="preserve"> </w:t>
      </w:r>
      <m:oMath>
        <m:r>
          <m:t>1.030</m:t>
        </m:r>
        <m:r>
          <m:rPr>
            <m:sty m:val="p"/>
          </m:rPr>
          <m:t>–</m:t>
        </m:r>
      </m:oMath>
      <w:r>
        <w:rPr>
          <w:b/>
          <w:bCs/>
        </w:rPr>
        <w:t xml:space="preserve">1.040 billion</w:t>
      </w:r>
      <w:r>
        <w:t xml:space="preserve"> </w:t>
      </w:r>
      <w:r>
        <w:t xml:space="preserve">(flat with Q1); GAAP opex guided to</w:t>
      </w:r>
      <w:r>
        <w:t xml:space="preserve"> </w:t>
      </w:r>
      <m:oMath>
        <m:r>
          <m:t>1.28</m:t>
        </m:r>
        <m:r>
          <m:rPr>
            <m:sty m:val="p"/>
          </m:rPr>
          <m:t>–</m:t>
        </m:r>
      </m:oMath>
      <w:r>
        <w:t xml:space="preserve">1.29 billion</w:t>
      </w:r>
    </w:p>
    <w:p>
      <w:pPr>
        <w:pStyle w:val="Compact"/>
        <w:numPr>
          <w:ilvl w:val="0"/>
          <w:numId w:val="1002"/>
        </w:numPr>
      </w:pPr>
      <w:r>
        <w:t xml:space="preserve">Full-year adjusted opex guided to</w:t>
      </w:r>
      <w:r>
        <w:t xml:space="preserve"> </w:t>
      </w:r>
      <m:oMath>
        <m:r>
          <m:t>4.145</m:t>
        </m:r>
        <m:r>
          <m:rPr>
            <m:sty m:val="p"/>
          </m:rPr>
          <m:t>–</m:t>
        </m:r>
      </m:oMath>
      <w:r>
        <w:rPr>
          <w:b/>
          <w:bCs/>
        </w:rPr>
        <w:t xml:space="preserve">4.195 billion</w:t>
      </w:r>
    </w:p>
    <w:p>
      <w:pPr>
        <w:pStyle w:val="Compact"/>
        <w:numPr>
          <w:ilvl w:val="0"/>
          <w:numId w:val="1002"/>
        </w:numPr>
      </w:pPr>
      <w:r>
        <w:t xml:space="preserve">Q2 diluted share count guided to 565–571 million weighted average shares</w:t>
      </w:r>
    </w:p>
    <w:p>
      <w:pPr>
        <w:pStyle w:val="Compact"/>
        <w:numPr>
          <w:ilvl w:val="0"/>
          <w:numId w:val="1002"/>
        </w:numPr>
      </w:pPr>
      <w:r>
        <w:t xml:space="preserve">ICE returned $848 million to shareholders in Q1 (including</w:t>
      </w:r>
      <w:r>
        <w:t xml:space="preserve"> </w:t>
      </w:r>
      <m:oMath>
        <m:r>
          <m:t>551</m:t>
        </m:r>
        <m:r>
          <m:t>m</m:t>
        </m:r>
        <m:r>
          <m:t>i</m:t>
        </m:r>
        <m:r>
          <m:t>l</m:t>
        </m:r>
        <m:r>
          <m:t>l</m:t>
        </m:r>
        <m:r>
          <m:t>i</m:t>
        </m:r>
        <m:r>
          <m:t>o</m:t>
        </m:r>
        <m:r>
          <m:t>n</m:t>
        </m:r>
        <m:r>
          <m:t>o</m:t>
        </m:r>
        <m:r>
          <m:t>f</m:t>
        </m:r>
        <m:r>
          <m:t>b</m:t>
        </m:r>
        <m:r>
          <m:t>u</m:t>
        </m:r>
        <m:r>
          <m:t>y</m:t>
        </m:r>
        <m:r>
          <m:t>b</m:t>
        </m:r>
        <m:r>
          <m:t>a</m:t>
        </m:r>
        <m:r>
          <m:t>c</m:t>
        </m:r>
        <m:r>
          <m:t>k</m:t>
        </m:r>
        <m:r>
          <m:t>s</m:t>
        </m:r>
        <m:r>
          <m:rPr>
            <m:sty m:val="p"/>
          </m:rPr>
          <m:t>)</m:t>
        </m:r>
        <m:r>
          <m:t>a</m:t>
        </m:r>
        <m:r>
          <m:t>n</m:t>
        </m:r>
        <m:r>
          <m:t>d</m:t>
        </m:r>
        <m:r>
          <m:t>h</m:t>
        </m:r>
        <m:r>
          <m:t>a</m:t>
        </m:r>
        <m:r>
          <m:t>d</m:t>
        </m:r>
        <m:r>
          <m:rPr>
            <m:sty m:val="p"/>
          </m:rPr>
          <m:t>*</m:t>
        </m:r>
        <m:r>
          <m:rPr>
            <m:sty m:val="p"/>
          </m:rPr>
          <m:t>*</m:t>
        </m:r>
      </m:oMath>
      <w:r>
        <w:t xml:space="preserve">2.5 billion remaining** under its buyback authorization as of quarter-end; a new $3.0 billion authorization took effect January 1, 2026</w:t>
      </w:r>
    </w:p>
    <w:p>
      <w:pPr>
        <w:pStyle w:val="Compact"/>
        <w:numPr>
          <w:ilvl w:val="0"/>
          <w:numId w:val="1002"/>
        </w:numPr>
      </w:pPr>
      <w:r>
        <w:t xml:space="preserve">Outstanding debt stood at $20.4 billion as of March 31, 2026, with a weighted-average senior notes cost of 3.7%</w:t>
      </w:r>
    </w:p>
    <w:bookmarkEnd w:id="13"/>
    <w:bookmarkStart w:id="14" w:name="X9cb16e01b7a042e79e27c430ec8fb4232bb3ae3"/>
    <w:p>
      <w:pPr>
        <w:pStyle w:val="Heading2"/>
      </w:pPr>
      <w:r>
        <w:t xml:space="preserve">Strategic and Competitive Storylines to Watch</w:t>
      </w:r>
    </w:p>
    <w:p>
      <w:pPr>
        <w:pStyle w:val="Compact"/>
        <w:numPr>
          <w:ilvl w:val="0"/>
          <w:numId w:val="1003"/>
        </w:numPr>
      </w:pPr>
      <w:r>
        <w:rPr>
          <w:b/>
          <w:bCs/>
        </w:rPr>
        <w:t xml:space="preserve">Competitive threats in event/perpetual contracts.</w:t>
      </w:r>
      <w:r>
        <w:t xml:space="preserve"> </w:t>
      </w:r>
      <w:r>
        <w:t xml:space="preserve">The June selloff in exchange-operator stocks tied to Kalshi's Bitcoin perpetual futures approval (and Coinbase's parallel push) puts competitive dynamics in prediction markets and crypto-adjacent derivatives squarely in focus. Expect analyst questions on how ICE's Polymarket partnership and CFTC's prediction-market rulemaking process factor into the competitive picture.</w:t>
      </w:r>
    </w:p>
    <w:p>
      <w:pPr>
        <w:pStyle w:val="Compact"/>
        <w:numPr>
          <w:ilvl w:val="0"/>
          <w:numId w:val="1003"/>
        </w:numPr>
      </w:pPr>
      <w:r>
        <w:rPr>
          <w:b/>
          <w:bCs/>
        </w:rPr>
        <w:t xml:space="preserve">Tokenization and digital assets.</w:t>
      </w:r>
      <w:r>
        <w:t xml:space="preserve"> </w:t>
      </w:r>
      <w:r>
        <w:t xml:space="preserve">ICE continues to build a tokenized-securities platform at NYSE, has a Securitize MOU for digital transfer agent services, and per recent reporting has formed a joint venture with OKX targeting registration as a U.S. broker-dealer/FCM for tokenized products — watch for regulatory/timeline updates.</w:t>
      </w:r>
    </w:p>
    <w:p>
      <w:pPr>
        <w:pStyle w:val="Compact"/>
        <w:numPr>
          <w:ilvl w:val="0"/>
          <w:numId w:val="1003"/>
        </w:numPr>
      </w:pPr>
      <w:r>
        <w:rPr>
          <w:b/>
          <w:bCs/>
        </w:rPr>
        <w:t xml:space="preserve">New product launches.</w:t>
      </w:r>
      <w:r>
        <w:t xml:space="preserve"> </w:t>
      </w:r>
      <w:r>
        <w:t xml:space="preserve">Recent reporting points to planned futures tied to GPU/AI compute pricing (via NATIVX's COIL Index), central bank policy decisions (Fed, ECB, BoE), and weekly U.S. natural gas storage data — incremental optionality beyond the core franchise.</w:t>
      </w:r>
    </w:p>
    <w:p>
      <w:pPr>
        <w:pStyle w:val="Compact"/>
        <w:numPr>
          <w:ilvl w:val="0"/>
          <w:numId w:val="1003"/>
        </w:numPr>
      </w:pPr>
      <w:r>
        <w:rPr>
          <w:b/>
          <w:bCs/>
        </w:rPr>
        <w:t xml:space="preserve">Private credit and data expansion.</w:t>
      </w:r>
      <w:r>
        <w:t xml:space="preserve"> </w:t>
      </w:r>
      <w:r>
        <w:t xml:space="preserve">ICE Private Credit Intelligence (launched with Apollo as anchor partner) and newer AI-driven offerings like ICE Compass (with T. Rowe Price as anchor client) extend the FIDS data moat into adjacent markets.</w:t>
      </w:r>
    </w:p>
    <w:p>
      <w:pPr>
        <w:pStyle w:val="Compact"/>
        <w:numPr>
          <w:ilvl w:val="0"/>
          <w:numId w:val="1003"/>
        </w:numPr>
      </w:pPr>
      <w:r>
        <w:rPr>
          <w:b/>
          <w:bCs/>
        </w:rPr>
        <w:t xml:space="preserve">Analyst sentiment/valuation.</w:t>
      </w:r>
      <w:r>
        <w:t xml:space="preserve"> </w:t>
      </w:r>
      <w:r>
        <w:t xml:space="preserve">Despite a "Moderate Buy" consensus and price targets still well above the current quote (recent targets: Piper Sandler $190, UBS $190, Barclays $180, Redburn $177 — several of which were trimmed from higher levels in June/July), the pattern of target cuts alongside EPS estimate reductions suggests the Street wants to see volume/growth durability confirmed before re-rating the stock, which is still down roughly 24% over the trailing year.</w:t>
      </w:r>
    </w:p>
    <w:p>
      <w:pPr>
        <w:pStyle w:val="Compact"/>
        <w:numPr>
          <w:ilvl w:val="0"/>
          <w:numId w:val="1003"/>
        </w:numPr>
      </w:pPr>
      <w:r>
        <w:rPr>
          <w:b/>
          <w:bCs/>
        </w:rPr>
        <w:t xml:space="preserve">Regulatory backdrop.</w:t>
      </w:r>
      <w:r>
        <w:t xml:space="preserve"> </w:t>
      </w:r>
      <w:r>
        <w:t xml:space="preserve">Items to monitor from the 10-Q: Basel III Endgame re-proposals (mortgage/clearing capital implications), EMIR 3.0's Active Account Requirement in Europe, EU ETS review, and the CFTC's evolving prediction-markets framework — all potentially relevant to forward volume and margin commentary.</w:t>
      </w:r>
    </w:p>
    <w:bookmarkEnd w:id="14"/>
    <w:bookmarkStart w:id="15" w:name="bottom-line"/>
    <w:p>
      <w:pPr>
        <w:pStyle w:val="Heading2"/>
      </w:pPr>
      <w:r>
        <w:t xml:space="preserve">Bottom Line</w:t>
      </w:r>
    </w:p>
    <w:p>
      <w:pPr>
        <w:pStyle w:val="FirstParagraph"/>
      </w:pPr>
      <w:r>
        <w:t xml:space="preserve">The setup into Q2 is less about whether ICE can repeat Q1's fireworks (it likely can't, given the unusual geopolitical catalyst) and more about whether management can convince investors that (a) elevated open interest and recurring-revenue momentum in rates, data, and mortgage technology are structural rather than cyclical, and (b) the competitive narrative around prediction markets/perpetual futures is manageable. With consensus already de-risked by several rounds of downward estimate revisions and the stock having recovered sharply off its June lows, the bar for a "beat" may be lower than headline growth-rate comparisons suggest — but guidance on H2 data-services growth, mortgage recurring revenue trajectory, and any fresh color on competitive/regulatory dynamics will likely be the swing factors for the stock's reaction.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2026-07-29T18:11:14Z</dcterms:created>
  <dcterms:modified xsi:type="dcterms:W3CDTF">2026-07-29T18:11:14Z</dcterms:modified>
</cp:coreProperties>
</file>

<file path=docProps/custom.xml><?xml version="1.0" encoding="utf-8"?>
<Properties xmlns="http://schemas.openxmlformats.org/officeDocument/2006/custom-properties" xmlns:vt="http://schemas.openxmlformats.org/officeDocument/2006/docPropsVTypes"/>
</file>