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2" w:name="ice-q2-2026-earnings-preview"/>
    <w:p>
      <w:pPr>
        <w:pStyle w:val="Heading1"/>
      </w:pPr>
      <w:r>
        <w:t xml:space="preserve">ICE Q2 2026 Earnings Preview</w:t>
      </w:r>
    </w:p>
    <w:p>
      <w:pPr>
        <w:pStyle w:val="FirstParagraph"/>
      </w:pPr>
      <w:r>
        <w:rPr>
          <w:b/>
          <w:bCs/>
        </w:rPr>
        <w:t xml:space="preserve">Report:</w:t>
      </w:r>
      <w:r>
        <w:t xml:space="preserve"> </w:t>
      </w:r>
      <w:r>
        <w:t xml:space="preserve">Thursday, July 30, 2026, before the market opens</w:t>
      </w:r>
      <w:r>
        <w:br/>
      </w:r>
      <w:r>
        <w:rPr>
          <w:b/>
          <w:bCs/>
        </w:rPr>
        <w:t xml:space="preserve">Conference call:</w:t>
      </w:r>
      <w:r>
        <w:t xml:space="preserve"> </w:t>
      </w:r>
      <w:r>
        <w:t xml:space="preserve">8:30 a.m. ET</w:t>
      </w:r>
    </w:p>
    <w:bookmarkStart w:id="9" w:name="investment-view-going-into-the-print"/>
    <w:p>
      <w:pPr>
        <w:pStyle w:val="Heading2"/>
      </w:pPr>
      <w:r>
        <w:t xml:space="preserve">Investment view going into the print</w:t>
      </w:r>
    </w:p>
    <w:p>
      <w:pPr>
        <w:pStyle w:val="FirstParagraph"/>
      </w:pPr>
      <w:r>
        <w:t xml:space="preserve">ICE enters Q2 with unusually good visibility into its transaction businesses. Published market statistics already show strong growth in rates, agricultural commodities, NYSE options and cash equities. The main debate is therefore less about whether the quarter grew and more about:</w:t>
      </w:r>
    </w:p>
    <w:p>
      <w:pPr>
        <w:pStyle w:val="Compact"/>
        <w:numPr>
          <w:ilvl w:val="0"/>
          <w:numId w:val="1001"/>
        </w:numPr>
      </w:pPr>
      <w:r>
        <w:rPr>
          <w:b/>
          <w:bCs/>
        </w:rPr>
        <w:t xml:space="preserve">How far exchange revenue normalizes from an exceptional first quarter</w:t>
      </w:r>
    </w:p>
    <w:p>
      <w:pPr>
        <w:pStyle w:val="Compact"/>
        <w:numPr>
          <w:ilvl w:val="0"/>
          <w:numId w:val="1001"/>
        </w:numPr>
      </w:pPr>
      <w:r>
        <w:rPr>
          <w:b/>
          <w:bCs/>
        </w:rPr>
        <w:t xml:space="preserve">Whether recurring data revenue sustains high-single-digit growth</w:t>
      </w:r>
    </w:p>
    <w:p>
      <w:pPr>
        <w:pStyle w:val="Compact"/>
        <w:numPr>
          <w:ilvl w:val="0"/>
          <w:numId w:val="1001"/>
        </w:numPr>
      </w:pPr>
      <w:r>
        <w:rPr>
          <w:b/>
          <w:bCs/>
        </w:rPr>
        <w:t xml:space="preserve">Whether Mortgage Technology can continue improving despite elevated rates</w:t>
      </w:r>
    </w:p>
    <w:p>
      <w:pPr>
        <w:pStyle w:val="Compact"/>
        <w:numPr>
          <w:ilvl w:val="0"/>
          <w:numId w:val="1001"/>
        </w:numPr>
      </w:pPr>
      <w:r>
        <w:rPr>
          <w:b/>
          <w:bCs/>
        </w:rPr>
        <w:t xml:space="preserve">How much of the revenue strength converts into operating leverage</w:t>
      </w:r>
    </w:p>
    <w:p>
      <w:pPr>
        <w:pStyle w:val="Compact"/>
        <w:numPr>
          <w:ilvl w:val="0"/>
          <w:numId w:val="1001"/>
        </w:numPr>
      </w:pPr>
      <w:r>
        <w:rPr>
          <w:b/>
          <w:bCs/>
        </w:rPr>
        <w:t xml:space="preserve">Whether management remains disciplined while funding tokenization, private-credit and prediction-market initiatives</w:t>
      </w:r>
    </w:p>
    <w:p>
      <w:pPr>
        <w:pStyle w:val="FirstParagraph"/>
      </w:pPr>
      <w:r>
        <w:t xml:space="preserve">The likely setup is a</w:t>
      </w:r>
      <w:r>
        <w:t xml:space="preserve"> </w:t>
      </w:r>
      <w:r>
        <w:rPr>
          <w:b/>
          <w:bCs/>
        </w:rPr>
        <w:t xml:space="preserve">solid year-over-year quarter but a substantial sequential decline from Q1</w:t>
      </w:r>
      <w:r>
        <w:t xml:space="preserve">, when geopolitical volatility produced the strongest results in ICE’s history. That sequential decline should not, by itself, be interpreted as deterioration.</w:t>
      </w:r>
    </w:p>
    <w:bookmarkEnd w:id="9"/>
    <w:bookmarkStart w:id="11" w:name="consensus-snapshot"/>
    <w:p>
      <w:pPr>
        <w:pStyle w:val="Heading2"/>
      </w:pPr>
      <w:r>
        <w:t xml:space="preserve">Consensus snapshot</w:t>
      </w:r>
    </w:p>
    <w:p>
      <w:pPr>
        <w:pStyle w:val="FirstParagraph"/>
      </w:pPr>
      <w:r>
        <w:t xml:space="preserve">Public estimate aggregators are not fully aligned: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Published expectations</w:t>
            </w:r>
          </w:p>
        </w:tc>
        <w:tc>
          <w:tcPr/>
          <w:p>
            <w:pPr>
              <w:pStyle w:val="Compact"/>
              <w:jc w:val="right"/>
            </w:pPr>
            <w:r>
              <w:t xml:space="preserve">Q2 2025</w:t>
            </w:r>
          </w:p>
        </w:tc>
      </w:tr>
      <w:tr>
        <w:tc>
          <w:tcPr/>
          <w:p>
            <w:pPr>
              <w:pStyle w:val="Compact"/>
            </w:pPr>
            <w:r>
              <w:t xml:space="preserve">Adjusted EPS</w:t>
            </w:r>
          </w:p>
        </w:tc>
        <w:tc>
          <w:tcPr/>
          <w:p>
            <w:pPr>
              <w:pStyle w:val="Compact"/>
              <w:jc w:val="right"/>
            </w:pPr>
            <w:r>
              <w:t xml:space="preserve">Approximately</w:t>
            </w:r>
            <w:r>
              <w:t xml:space="preserve"> </w:t>
            </w:r>
            <m:oMath>
              <m:r>
                <m:t>1.84</m:t>
              </m:r>
              <m:r>
                <m:rPr>
                  <m:sty m:val="p"/>
                </m:rPr>
                <m:t>–</m:t>
              </m:r>
            </m:oMath>
            <w:r>
              <w:rPr>
                <w:b/>
                <w:bCs/>
              </w:rPr>
              <w:t xml:space="preserve">1.92</w:t>
            </w:r>
          </w:p>
        </w:tc>
        <w:tc>
          <w:tcPr/>
          <w:p>
            <w:pPr>
              <w:pStyle w:val="Compact"/>
              <w:jc w:val="right"/>
            </w:pPr>
            <w:r>
              <w:t xml:space="preserve">$1.81</w:t>
            </w:r>
          </w:p>
        </w:tc>
      </w:tr>
      <w:tr>
        <w:tc>
          <w:tcPr/>
          <w:p>
            <w:pPr>
              <w:pStyle w:val="Compact"/>
            </w:pPr>
            <w:r>
              <w:t xml:space="preserve">Net revenue</w:t>
            </w:r>
          </w:p>
        </w:tc>
        <w:tc>
          <w:tcPr/>
          <w:p>
            <w:pPr>
              <w:pStyle w:val="Compact"/>
              <w:jc w:val="right"/>
            </w:pPr>
            <w:r>
              <w:t xml:space="preserve">Approximately</w:t>
            </w:r>
            <w:r>
              <w:t xml:space="preserve"> </w:t>
            </w:r>
            <m:oMath>
              <m:r>
                <m:t>2.63</m:t>
              </m:r>
              <m:r>
                <m:rPr>
                  <m:sty m:val="p"/>
                </m:rPr>
                <m:t>–</m:t>
              </m:r>
            </m:oMath>
            <w:r>
              <w:rPr>
                <w:b/>
                <w:bCs/>
              </w:rPr>
              <w:t xml:space="preserve">2.70 billion</w:t>
            </w:r>
          </w:p>
        </w:tc>
        <w:tc>
          <w:tcPr/>
          <w:p>
            <w:pPr>
              <w:pStyle w:val="Compact"/>
              <w:jc w:val="right"/>
            </w:pPr>
            <w:r>
              <w:t xml:space="preserve">$2.54 billion</w:t>
            </w:r>
          </w:p>
        </w:tc>
      </w:tr>
    </w:tbl>
    <w:p>
      <w:pPr>
        <w:pStyle w:val="BodyText"/>
      </w:pPr>
      <w:r>
        <w:t xml:space="preserve">Benzinga currently shows adjusted EPS of $1.92 and revenue of $2.70 billion, while MarketBeat shows $1.84 and $2.63 billion. The variance likely reflects timing and contributor differences, so the segment results and outlook may matter more than the headline “beat.” (</w:t>
      </w:r>
      <w:hyperlink r:id="rId10">
        <w:r>
          <w:rPr>
            <w:rStyle w:val="Hyperlink"/>
          </w:rPr>
          <w:t xml:space="preserve">marketbeat.com</w:t>
        </w:r>
      </w:hyperlink>
      <w:r>
        <w:t xml:space="preserve">)</w:t>
      </w:r>
    </w:p>
    <w:bookmarkEnd w:id="11"/>
    <w:bookmarkStart w:id="14" w:name="X9db54dec9e9cf8da1643ce6efe3cc6131318e3c"/>
    <w:p>
      <w:pPr>
        <w:pStyle w:val="Heading2"/>
      </w:pPr>
      <w:r>
        <w:t xml:space="preserve">What the quarter’s operating data already tell us</w:t>
      </w:r>
    </w:p>
    <w:p>
      <w:pPr>
        <w:pStyle w:val="FirstParagraph"/>
      </w:pPr>
      <w:r>
        <w:t xml:space="preserve">ICE’s Q2 statistics were broadly strong:</w:t>
      </w:r>
    </w:p>
    <w:p>
      <w:pPr>
        <w:pStyle w:val="Compact"/>
        <w:numPr>
          <w:ilvl w:val="0"/>
          <w:numId w:val="1002"/>
        </w:numPr>
      </w:pPr>
      <w:r>
        <w:t xml:space="preserve">Financial derivatives ADV increased</w:t>
      </w:r>
      <w:r>
        <w:t xml:space="preserve"> </w:t>
      </w:r>
      <w:r>
        <w:rPr>
          <w:b/>
          <w:bCs/>
        </w:rPr>
        <w:t xml:space="preserve">22% year over year</w:t>
      </w:r>
    </w:p>
    <w:p>
      <w:pPr>
        <w:pStyle w:val="Compact"/>
        <w:numPr>
          <w:ilvl w:val="0"/>
          <w:numId w:val="1002"/>
        </w:numPr>
      </w:pPr>
      <w:r>
        <w:t xml:space="preserve">Interest-rate ADV increased</w:t>
      </w:r>
      <w:r>
        <w:t xml:space="preserve"> </w:t>
      </w:r>
      <w:r>
        <w:rPr>
          <w:b/>
          <w:bCs/>
        </w:rPr>
        <w:t xml:space="preserve">24%</w:t>
      </w:r>
    </w:p>
    <w:p>
      <w:pPr>
        <w:pStyle w:val="Compact"/>
        <w:numPr>
          <w:ilvl w:val="1"/>
          <w:numId w:val="1003"/>
        </w:numPr>
      </w:pPr>
      <w:r>
        <w:t xml:space="preserve">Euribor:</w:t>
      </w:r>
      <w:r>
        <w:t xml:space="preserve"> </w:t>
      </w:r>
      <w:r>
        <w:rPr>
          <w:b/>
          <w:bCs/>
        </w:rPr>
        <w:t xml:space="preserve">+12%</w:t>
      </w:r>
    </w:p>
    <w:p>
      <w:pPr>
        <w:pStyle w:val="Compact"/>
        <w:numPr>
          <w:ilvl w:val="1"/>
          <w:numId w:val="1003"/>
        </w:numPr>
      </w:pPr>
      <w:r>
        <w:t xml:space="preserve">SONIA:</w:t>
      </w:r>
      <w:r>
        <w:t xml:space="preserve"> </w:t>
      </w:r>
      <w:r>
        <w:rPr>
          <w:b/>
          <w:bCs/>
        </w:rPr>
        <w:t xml:space="preserve">+39%</w:t>
      </w:r>
    </w:p>
    <w:p>
      <w:pPr>
        <w:pStyle w:val="Compact"/>
        <w:numPr>
          <w:ilvl w:val="1"/>
          <w:numId w:val="1003"/>
        </w:numPr>
      </w:pPr>
      <w:r>
        <w:t xml:space="preserve">Gilts:</w:t>
      </w:r>
      <w:r>
        <w:t xml:space="preserve"> </w:t>
      </w:r>
      <w:r>
        <w:rPr>
          <w:b/>
          <w:bCs/>
        </w:rPr>
        <w:t xml:space="preserve">+18%</w:t>
      </w:r>
    </w:p>
    <w:p>
      <w:pPr>
        <w:pStyle w:val="Compact"/>
        <w:numPr>
          <w:ilvl w:val="0"/>
          <w:numId w:val="1002"/>
        </w:numPr>
      </w:pPr>
      <w:r>
        <w:t xml:space="preserve">Agriculture and metals ADV increased a record</w:t>
      </w:r>
      <w:r>
        <w:t xml:space="preserve"> </w:t>
      </w:r>
      <w:r>
        <w:rPr>
          <w:b/>
          <w:bCs/>
        </w:rPr>
        <w:t xml:space="preserve">36%</w:t>
      </w:r>
    </w:p>
    <w:p>
      <w:pPr>
        <w:pStyle w:val="Compact"/>
        <w:numPr>
          <w:ilvl w:val="0"/>
          <w:numId w:val="1002"/>
        </w:numPr>
      </w:pPr>
      <w:r>
        <w:t xml:space="preserve">NYSE cash-equity ADV increased</w:t>
      </w:r>
      <w:r>
        <w:t xml:space="preserve"> </w:t>
      </w:r>
      <w:r>
        <w:rPr>
          <w:b/>
          <w:bCs/>
        </w:rPr>
        <w:t xml:space="preserve">12%</w:t>
      </w:r>
    </w:p>
    <w:p>
      <w:pPr>
        <w:pStyle w:val="Compact"/>
        <w:numPr>
          <w:ilvl w:val="0"/>
          <w:numId w:val="1002"/>
        </w:numPr>
      </w:pPr>
      <w:r>
        <w:t xml:space="preserve">NYSE equity-options ADV increased</w:t>
      </w:r>
      <w:r>
        <w:t xml:space="preserve"> </w:t>
      </w:r>
      <w:r>
        <w:rPr>
          <w:b/>
          <w:bCs/>
        </w:rPr>
        <w:t xml:space="preserve">44%</w:t>
      </w:r>
    </w:p>
    <w:p>
      <w:pPr>
        <w:pStyle w:val="Compact"/>
        <w:numPr>
          <w:ilvl w:val="0"/>
          <w:numId w:val="1002"/>
        </w:numPr>
      </w:pPr>
      <w:r>
        <w:t xml:space="preserve">Total open interest ended June</w:t>
      </w:r>
      <w:r>
        <w:t xml:space="preserve"> </w:t>
      </w:r>
      <w:r>
        <w:rPr>
          <w:b/>
          <w:bCs/>
        </w:rPr>
        <w:t xml:space="preserve">20% above</w:t>
      </w:r>
      <w:r>
        <w:t xml:space="preserve"> </w:t>
      </w:r>
      <w:r>
        <w:t xml:space="preserve">the prior year</w:t>
      </w:r>
    </w:p>
    <w:p>
      <w:pPr>
        <w:pStyle w:val="FirstParagraph"/>
      </w:pPr>
      <w:r>
        <w:t xml:space="preserve">June remained particularly strong in rates, with financial open interest up 46% and interest-rate open interest up 52%. (</w:t>
      </w:r>
      <w:hyperlink r:id="rId12">
        <w:r>
          <w:rPr>
            <w:rStyle w:val="Hyperlink"/>
          </w:rPr>
          <w:t xml:space="preserve">ir.theice.com</w:t>
        </w:r>
      </w:hyperlink>
      <w:r>
        <w:t xml:space="preserve">)</w:t>
      </w:r>
    </w:p>
    <w:p>
      <w:pPr>
        <w:pStyle w:val="BodyText"/>
      </w:pPr>
      <w:r>
        <w:t xml:space="preserve">Those figures suggest that</w:t>
      </w:r>
      <w:r>
        <w:t xml:space="preserve"> </w:t>
      </w:r>
      <w:r>
        <w:rPr>
          <w:b/>
          <w:bCs/>
        </w:rPr>
        <w:t xml:space="preserve">Financials, Ags and Metals, and NYSE equity options should be the most visible sources of upside</w:t>
      </w:r>
      <w:r>
        <w:t xml:space="preserve">.</w:t>
      </w:r>
    </w:p>
    <w:p>
      <w:pPr>
        <w:pStyle w:val="BodyText"/>
      </w:pPr>
      <w:r>
        <w:t xml:space="preserve">The less obvious question is energy. ICE disclosed that June energy open interest was up 6%, including 8% growth in natural gas, but total Q2 energy ADV was not among the highlighted growth statistics. April and May data also showed healthy open interest but less dramatic volume growth than Q1: May Brent ADV was up 6% and total natural-gas ADV was up 3%. (</w:t>
      </w:r>
      <w:hyperlink r:id="rId13">
        <w:r>
          <w:rPr>
            <w:rStyle w:val="Hyperlink"/>
          </w:rPr>
          <w:t xml:space="preserve">ir.theice.com</w:t>
        </w:r>
      </w:hyperlink>
      <w:r>
        <w:t xml:space="preserve">)</w:t>
      </w:r>
    </w:p>
    <w:p>
      <w:pPr>
        <w:pStyle w:val="BodyText"/>
      </w:pPr>
      <w:r>
        <w:t xml:space="preserve">That points to the following likely outcome:</w:t>
      </w:r>
    </w:p>
    <w:p>
      <w:pPr>
        <w:pStyle w:val="BlockText"/>
      </w:pPr>
      <w:r>
        <w:rPr>
          <w:b/>
          <w:bCs/>
        </w:rPr>
        <w:t xml:space="preserve">Exchange revenue should remain very strong year over year, but the record Q1 energy contribution probably does not repeat.</w:t>
      </w:r>
    </w:p>
    <w:bookmarkEnd w:id="14"/>
    <w:bookmarkStart w:id="31" w:name="segment-preview"/>
    <w:p>
      <w:pPr>
        <w:pStyle w:val="Heading2"/>
      </w:pPr>
      <w:r>
        <w:t xml:space="preserve">Segment preview</w:t>
      </w:r>
    </w:p>
    <w:bookmarkStart w:id="20" w:name="Xf7c09ed9d9cdf279bd06c4b4e3cd206e97dd40f"/>
    <w:p>
      <w:pPr>
        <w:pStyle w:val="Heading3"/>
      </w:pPr>
      <w:r>
        <w:t xml:space="preserve">1. Exchanges: strong quarter, difficult sequential comparison</w:t>
      </w:r>
    </w:p>
    <w:p>
      <w:pPr>
        <w:pStyle w:val="FirstParagraph"/>
      </w:pPr>
      <w:r>
        <w:t xml:space="preserve">The Exchange segment produced $1.78 billion of Q1 net revenue, up 27% in constant currency. Energy revenue rose 41% in constant currency and Financials rose 56%, reflecting record trading around geopolitical and monetary-policy uncertainty. (</w:t>
      </w:r>
      <w:hyperlink r:id="rId15">
        <w:r>
          <w:rPr>
            <w:rStyle w:val="Hyperlink"/>
          </w:rPr>
          <w:t xml:space="preserve">ir.theice.com</w:t>
        </w:r>
      </w:hyperlink>
      <w:r>
        <w:t xml:space="preserve">)</w:t>
      </w:r>
    </w:p>
    <w:p>
      <w:pPr>
        <w:pStyle w:val="BodyText"/>
      </w:pPr>
      <w:r>
        <w:t xml:space="preserve">For Q2, investors should focus on:</w:t>
      </w:r>
    </w:p>
    <w:bookmarkStart w:id="16" w:name="interest-rates"/>
    <w:p>
      <w:pPr>
        <w:pStyle w:val="Heading4"/>
      </w:pPr>
      <w:r>
        <w:t xml:space="preserve">Interest rates</w:t>
      </w:r>
    </w:p>
    <w:p>
      <w:pPr>
        <w:pStyle w:val="FirstParagraph"/>
      </w:pPr>
      <w:r>
        <w:t xml:space="preserve">This is probably the quarter’s cleanest positive signal. Q2 rates ADV rose 24%, and June open interest remained exceptionally strong. High open interest is important because it indicates customers are maintaining exposure rather than merely entering and exiting positions during a brief volatility spike.</w:t>
      </w:r>
    </w:p>
    <w:p>
      <w:pPr>
        <w:pStyle w:val="BodyText"/>
      </w:pPr>
      <w:r>
        <w:t xml:space="preserve">The key earnings-call question is whether management sees this as:</w:t>
      </w:r>
    </w:p>
    <w:p>
      <w:pPr>
        <w:pStyle w:val="Compact"/>
        <w:numPr>
          <w:ilvl w:val="0"/>
          <w:numId w:val="1004"/>
        </w:numPr>
      </w:pPr>
      <w:r>
        <w:t xml:space="preserve">A structural expansion in participation and hedging demand</w:t>
      </w:r>
    </w:p>
    <w:p>
      <w:pPr>
        <w:pStyle w:val="Compact"/>
        <w:numPr>
          <w:ilvl w:val="0"/>
          <w:numId w:val="1004"/>
        </w:numPr>
      </w:pPr>
      <w:r>
        <w:t xml:space="preserve">Primarily a function of unusual policy uncertainty</w:t>
      </w:r>
    </w:p>
    <w:p>
      <w:pPr>
        <w:pStyle w:val="Compact"/>
        <w:numPr>
          <w:ilvl w:val="0"/>
          <w:numId w:val="1004"/>
        </w:numPr>
      </w:pPr>
      <w:r>
        <w:t xml:space="preserve">Some combination of the two</w:t>
      </w:r>
    </w:p>
    <w:p>
      <w:pPr>
        <w:pStyle w:val="FirstParagraph"/>
      </w:pPr>
      <w:r>
        <w:t xml:space="preserve">A convincing explanation that the higher rates activity is creating durable liquidity and customer adoption would be more valuable than a small revenue beat.</w:t>
      </w:r>
    </w:p>
    <w:bookmarkEnd w:id="16"/>
    <w:bookmarkStart w:id="17" w:name="energy"/>
    <w:p>
      <w:pPr>
        <w:pStyle w:val="Heading4"/>
      </w:pPr>
      <w:r>
        <w:t xml:space="preserve">Energy</w:t>
      </w:r>
    </w:p>
    <w:p>
      <w:pPr>
        <w:pStyle w:val="FirstParagraph"/>
      </w:pPr>
      <w:r>
        <w:t xml:space="preserve">Energy is the largest swing factor. Q1 energy revenue was $814 million, up 46% as reported, setting an extremely demanding sequential comparison. Q2 open interest remained positive, but the published volume data suggest activity normalized after Q1’s extraordinary peak. (</w:t>
      </w:r>
      <w:hyperlink r:id="rId15">
        <w:r>
          <w:rPr>
            <w:rStyle w:val="Hyperlink"/>
          </w:rPr>
          <w:t xml:space="preserve">ir.theice.com</w:t>
        </w:r>
      </w:hyperlink>
      <w:r>
        <w:t xml:space="preserve">)</w:t>
      </w:r>
    </w:p>
    <w:p>
      <w:pPr>
        <w:pStyle w:val="BodyText"/>
      </w:pPr>
      <w:r>
        <w:t xml:space="preserve">A bullish outcome would be:</w:t>
      </w:r>
    </w:p>
    <w:p>
      <w:pPr>
        <w:pStyle w:val="Compact"/>
        <w:numPr>
          <w:ilvl w:val="0"/>
          <w:numId w:val="1005"/>
        </w:numPr>
      </w:pPr>
      <w:r>
        <w:t xml:space="preserve">Energy revenue remaining materially above normalized historical levels</w:t>
      </w:r>
    </w:p>
    <w:p>
      <w:pPr>
        <w:pStyle w:val="Compact"/>
        <w:numPr>
          <w:ilvl w:val="0"/>
          <w:numId w:val="1005"/>
        </w:numPr>
      </w:pPr>
      <w:r>
        <w:t xml:space="preserve">Stable or rising participation</w:t>
      </w:r>
    </w:p>
    <w:p>
      <w:pPr>
        <w:pStyle w:val="Compact"/>
        <w:numPr>
          <w:ilvl w:val="0"/>
          <w:numId w:val="1005"/>
        </w:numPr>
      </w:pPr>
      <w:r>
        <w:t xml:space="preserve">Continued options growth</w:t>
      </w:r>
    </w:p>
    <w:p>
      <w:pPr>
        <w:pStyle w:val="Compact"/>
        <w:numPr>
          <w:ilvl w:val="0"/>
          <w:numId w:val="1005"/>
        </w:numPr>
      </w:pPr>
      <w:r>
        <w:t xml:space="preserve">Evidence that customers brought in during the volatility are staying on the platform</w:t>
      </w:r>
    </w:p>
    <w:p>
      <w:pPr>
        <w:pStyle w:val="FirstParagraph"/>
      </w:pPr>
      <w:r>
        <w:t xml:space="preserve">The risk is not weak year-over-year growth; it is that investors extrapolated too much of Q1’s windfall into Q2 and the second half.</w:t>
      </w:r>
    </w:p>
    <w:bookmarkEnd w:id="17"/>
    <w:bookmarkStart w:id="18" w:name="agriculture-metals-and-nyse-trading"/>
    <w:p>
      <w:pPr>
        <w:pStyle w:val="Heading4"/>
      </w:pPr>
      <w:r>
        <w:t xml:space="preserve">Agriculture, metals and NYSE trading</w:t>
      </w:r>
    </w:p>
    <w:p>
      <w:pPr>
        <w:pStyle w:val="FirstParagraph"/>
      </w:pPr>
      <w:r>
        <w:t xml:space="preserve">These businesses should provide meaningful diversification:</w:t>
      </w:r>
    </w:p>
    <w:p>
      <w:pPr>
        <w:pStyle w:val="Compact"/>
        <w:numPr>
          <w:ilvl w:val="0"/>
          <w:numId w:val="1006"/>
        </w:numPr>
      </w:pPr>
      <w:r>
        <w:t xml:space="preserve">Q2 Agriculture and Metals ADV increased 36%</w:t>
      </w:r>
    </w:p>
    <w:p>
      <w:pPr>
        <w:pStyle w:val="Compact"/>
        <w:numPr>
          <w:ilvl w:val="0"/>
          <w:numId w:val="1006"/>
        </w:numPr>
      </w:pPr>
      <w:r>
        <w:t xml:space="preserve">Cotton ADV rose 59%</w:t>
      </w:r>
    </w:p>
    <w:p>
      <w:pPr>
        <w:pStyle w:val="Compact"/>
        <w:numPr>
          <w:ilvl w:val="0"/>
          <w:numId w:val="1006"/>
        </w:numPr>
      </w:pPr>
      <w:r>
        <w:t xml:space="preserve">Cocoa rose 73%</w:t>
      </w:r>
    </w:p>
    <w:p>
      <w:pPr>
        <w:pStyle w:val="Compact"/>
        <w:numPr>
          <w:ilvl w:val="0"/>
          <w:numId w:val="1006"/>
        </w:numPr>
      </w:pPr>
      <w:r>
        <w:t xml:space="preserve">Sugar rose 30%</w:t>
      </w:r>
    </w:p>
    <w:p>
      <w:pPr>
        <w:pStyle w:val="Compact"/>
        <w:numPr>
          <w:ilvl w:val="0"/>
          <w:numId w:val="1006"/>
        </w:numPr>
      </w:pPr>
      <w:r>
        <w:t xml:space="preserve">NYSE equity-options ADV rose 44%</w:t>
      </w:r>
    </w:p>
    <w:p>
      <w:pPr>
        <w:pStyle w:val="FirstParagraph"/>
      </w:pPr>
      <w:r>
        <w:t xml:space="preserve">These products are smaller than ICE’s energy complex, but the breadth is strategically important. It supports management’s claim that ICE is not dependent on one source of volatility. (</w:t>
      </w:r>
      <w:hyperlink r:id="rId12">
        <w:r>
          <w:rPr>
            <w:rStyle w:val="Hyperlink"/>
          </w:rPr>
          <w:t xml:space="preserve">ir.theice.com</w:t>
        </w:r>
      </w:hyperlink>
      <w:r>
        <w:t xml:space="preserve">)</w:t>
      </w:r>
    </w:p>
    <w:bookmarkEnd w:id="18"/>
    <w:bookmarkStart w:id="19" w:name="exchange-recurring-revenue"/>
    <w:p>
      <w:pPr>
        <w:pStyle w:val="Heading4"/>
      </w:pPr>
      <w:r>
        <w:t xml:space="preserve">Exchange recurring revenue</w:t>
      </w:r>
    </w:p>
    <w:p>
      <w:pPr>
        <w:pStyle w:val="FirstParagraph"/>
      </w:pPr>
      <w:r>
        <w:t xml:space="preserve">Q1 Exchange recurring revenue increased 10%, including 13% growth in data and connectivity and 5% in listings. Investors should watch whether data and connectivity can remain above ICE’s longer-term mid-single-digit framework. (</w:t>
      </w:r>
      <w:hyperlink r:id="rId15">
        <w:r>
          <w:rPr>
            <w:rStyle w:val="Hyperlink"/>
          </w:rPr>
          <w:t xml:space="preserve">ir.theice.com</w:t>
        </w:r>
      </w:hyperlink>
      <w:r>
        <w:t xml:space="preserve">)</w:t>
      </w:r>
    </w:p>
    <w:p>
      <w:pPr>
        <w:pStyle w:val="BodyText"/>
      </w:pPr>
      <w:r>
        <w:t xml:space="preserve">NYSE listings and transfer activity will also be worth monitoring, although the near-term earnings sensitivity is modest relative to derivatives.</w:t>
      </w:r>
    </w:p>
    <w:p>
      <w:r>
        <w:pict>
          <v:rect style="width:0;height:1.5pt" o:hralign="center" o:hrstd="t" o:hr="t"/>
        </w:pict>
      </w:r>
    </w:p>
    <w:bookmarkEnd w:id="19"/>
    <w:bookmarkEnd w:id="20"/>
    <w:bookmarkStart w:id="26" w:name="X88d703a4bc87304572926a7e2ce71eb67c4e998"/>
    <w:p>
      <w:pPr>
        <w:pStyle w:val="Heading3"/>
      </w:pPr>
      <w:r>
        <w:t xml:space="preserve">2. Fixed Income and Data Services: probably the most important quality indicator</w:t>
      </w:r>
    </w:p>
    <w:p>
      <w:pPr>
        <w:pStyle w:val="FirstParagraph"/>
      </w:pPr>
      <w:r>
        <w:t xml:space="preserve">FIDS produced $657 million in Q1 revenue, up 9% in constant currency. Recurring revenue grew 8%, while transaction revenue grew 14%. Data and Network Technology was especially strong, increasing 11% in constant currency. (</w:t>
      </w:r>
      <w:hyperlink r:id="rId15">
        <w:r>
          <w:rPr>
            <w:rStyle w:val="Hyperlink"/>
          </w:rPr>
          <w:t xml:space="preserve">ir.theice.com</w:t>
        </w:r>
      </w:hyperlink>
      <w:r>
        <w:t xml:space="preserve">)</w:t>
      </w:r>
    </w:p>
    <w:p>
      <w:pPr>
        <w:pStyle w:val="BodyText"/>
      </w:pPr>
      <w:r>
        <w:t xml:space="preserve">This segment matters disproportionately because recurring data growth supports ICE’s valuation as a durable infrastructure compounder rather than a volume-sensitive exchange operator.</w:t>
      </w:r>
    </w:p>
    <w:bookmarkStart w:id="21" w:name="what-would-qualify-as-a-good-result"/>
    <w:p>
      <w:pPr>
        <w:pStyle w:val="Heading4"/>
      </w:pPr>
      <w:r>
        <w:t xml:space="preserve">What would qualify as a good result?</w:t>
      </w:r>
    </w:p>
    <w:p>
      <w:pPr>
        <w:pStyle w:val="Compact"/>
        <w:numPr>
          <w:ilvl w:val="0"/>
          <w:numId w:val="1007"/>
        </w:numPr>
      </w:pPr>
      <w:r>
        <w:t xml:space="preserve">Recurring growth of roughly</w:t>
      </w:r>
      <w:r>
        <w:t xml:space="preserve"> </w:t>
      </w:r>
      <w:r>
        <w:rPr>
          <w:b/>
          <w:bCs/>
        </w:rPr>
        <w:t xml:space="preserve">7% or better</w:t>
      </w:r>
    </w:p>
    <w:p>
      <w:pPr>
        <w:pStyle w:val="Compact"/>
        <w:numPr>
          <w:ilvl w:val="0"/>
          <w:numId w:val="1007"/>
        </w:numPr>
      </w:pPr>
      <w:r>
        <w:t xml:space="preserve">Continued pricing and reference-data strength</w:t>
      </w:r>
    </w:p>
    <w:p>
      <w:pPr>
        <w:pStyle w:val="Compact"/>
        <w:numPr>
          <w:ilvl w:val="0"/>
          <w:numId w:val="1007"/>
        </w:numPr>
      </w:pPr>
      <w:r>
        <w:t xml:space="preserve">Healthy growth in network and connectivity</w:t>
      </w:r>
    </w:p>
    <w:p>
      <w:pPr>
        <w:pStyle w:val="Compact"/>
        <w:numPr>
          <w:ilvl w:val="0"/>
          <w:numId w:val="1007"/>
        </w:numPr>
      </w:pPr>
      <w:r>
        <w:t xml:space="preserve">Further index adoption and assets benchmarked to ICE indices</w:t>
      </w:r>
    </w:p>
    <w:p>
      <w:pPr>
        <w:pStyle w:val="Compact"/>
        <w:numPr>
          <w:ilvl w:val="0"/>
          <w:numId w:val="1007"/>
        </w:numPr>
      </w:pPr>
      <w:r>
        <w:t xml:space="preserve">CDS clearing growth alongside volatile credit markets</w:t>
      </w:r>
    </w:p>
    <w:p>
      <w:pPr>
        <w:pStyle w:val="Compact"/>
        <w:numPr>
          <w:ilvl w:val="0"/>
          <w:numId w:val="1007"/>
        </w:numPr>
      </w:pPr>
      <w:r>
        <w:t xml:space="preserve">No indication that AI is weakening data pricing or customer retention</w:t>
      </w:r>
    </w:p>
    <w:p>
      <w:pPr>
        <w:pStyle w:val="FirstParagraph"/>
      </w:pPr>
      <w:r>
        <w:t xml:space="preserve">The principal concern is that Q1’s 8% recurring growth may have represented a local peak rather than a sustainable rate. A material drop toward the low end of mid-single digits would likely receive more attention than a modest consolidated EPS beat.</w:t>
      </w:r>
    </w:p>
    <w:bookmarkEnd w:id="21"/>
    <w:bookmarkStart w:id="25" w:name="new-growth-initiatives"/>
    <w:p>
      <w:pPr>
        <w:pStyle w:val="Heading4"/>
      </w:pPr>
      <w:r>
        <w:t xml:space="preserve">New growth initiatives</w:t>
      </w:r>
    </w:p>
    <w:p>
      <w:pPr>
        <w:pStyle w:val="FirstParagraph"/>
      </w:pPr>
      <w:r>
        <w:t xml:space="preserve">ICE has begun extending its data architecture into several adjacent markets:</w:t>
      </w:r>
    </w:p>
    <w:p>
      <w:pPr>
        <w:pStyle w:val="Compact"/>
        <w:numPr>
          <w:ilvl w:val="0"/>
          <w:numId w:val="1008"/>
        </w:numPr>
      </w:pPr>
      <w:r>
        <w:rPr>
          <w:b/>
          <w:bCs/>
        </w:rPr>
        <w:t xml:space="preserve">Private credit:</w:t>
      </w:r>
      <w:r>
        <w:t xml:space="preserve"> </w:t>
      </w:r>
      <w:r>
        <w:t xml:space="preserve">ICE launched Private Credit Intelligence with Apollo and, on July 27, launched persistent ICE identifiers for private-credit instruments. The strategy is to establish the reference-data layer before adding analytics, pricing and other workflows. (</w:t>
      </w:r>
      <w:hyperlink r:id="rId22">
        <w:r>
          <w:rPr>
            <w:rStyle w:val="Hyperlink"/>
          </w:rPr>
          <w:t xml:space="preserve">ir.theice.com</w:t>
        </w:r>
      </w:hyperlink>
      <w:r>
        <w:t xml:space="preserve">)</w:t>
      </w:r>
    </w:p>
    <w:p>
      <w:pPr>
        <w:pStyle w:val="Compact"/>
        <w:numPr>
          <w:ilvl w:val="0"/>
          <w:numId w:val="1008"/>
        </w:numPr>
      </w:pPr>
      <w:r>
        <w:rPr>
          <w:b/>
          <w:bCs/>
        </w:rPr>
        <w:t xml:space="preserve">Prediction-market data:</w:t>
      </w:r>
      <w:r>
        <w:t xml:space="preserve"> </w:t>
      </w:r>
      <w:r>
        <w:t xml:space="preserve">ICE is distributing normalized Polymarket signals through its existing data infrastructure. (</w:t>
      </w:r>
      <w:hyperlink r:id="rId23">
        <w:r>
          <w:rPr>
            <w:rStyle w:val="Hyperlink"/>
          </w:rPr>
          <w:t xml:space="preserve">ir.theice.com</w:t>
        </w:r>
      </w:hyperlink>
      <w:r>
        <w:t xml:space="preserve">)</w:t>
      </w:r>
    </w:p>
    <w:p>
      <w:pPr>
        <w:pStyle w:val="Compact"/>
        <w:numPr>
          <w:ilvl w:val="0"/>
          <w:numId w:val="1008"/>
        </w:numPr>
      </w:pPr>
      <w:r>
        <w:rPr>
          <w:b/>
          <w:bCs/>
        </w:rPr>
        <w:t xml:space="preserve">Treasury clearing:</w:t>
      </w:r>
      <w:r>
        <w:t xml:space="preserve"> </w:t>
      </w:r>
      <w:r>
        <w:t xml:space="preserve">ICE Clear Credit has received SEC approval and is operationally live, with repo clearing representing an additional future opportunity. (</w:t>
      </w:r>
      <w:hyperlink r:id="rId24">
        <w:r>
          <w:rPr>
            <w:rStyle w:val="Hyperlink"/>
          </w:rPr>
          <w:t xml:space="preserve">ir.theice.com</w:t>
        </w:r>
      </w:hyperlink>
      <w:r>
        <w:t xml:space="preserve">)</w:t>
      </w:r>
    </w:p>
    <w:p>
      <w:pPr>
        <w:pStyle w:val="FirstParagraph"/>
      </w:pPr>
      <w:r>
        <w:t xml:space="preserve">These initiatives are unlikely to move Q2 revenue materially. Investors should instead listen for customer adoption, monetization milestones and required incremental spending.</w:t>
      </w:r>
    </w:p>
    <w:p>
      <w:r>
        <w:pict>
          <v:rect style="width:0;height:1.5pt" o:hralign="center" o:hrstd="t" o:hr="t"/>
        </w:pict>
      </w:r>
    </w:p>
    <w:bookmarkEnd w:id="25"/>
    <w:bookmarkEnd w:id="26"/>
    <w:bookmarkStart w:id="28" w:name="Xc17cb0f55580953b1555b5421e2ccf2b071eb2e"/>
    <w:p>
      <w:pPr>
        <w:pStyle w:val="Heading3"/>
      </w:pPr>
      <w:r>
        <w:t xml:space="preserve">3. Mortgage Technology: improving execution meets a difficult macro backdrop</w:t>
      </w:r>
    </w:p>
    <w:p>
      <w:pPr>
        <w:pStyle w:val="FirstParagraph"/>
      </w:pPr>
      <w:r>
        <w:t xml:space="preserve">Mortgage Technology generated $539 million of Q1 revenue, up 6%, including:</w:t>
      </w:r>
    </w:p>
    <w:p>
      <w:pPr>
        <w:pStyle w:val="Compact"/>
        <w:numPr>
          <w:ilvl w:val="0"/>
          <w:numId w:val="1009"/>
        </w:numPr>
      </w:pPr>
      <w:r>
        <w:t xml:space="preserve">Origination Technology:</w:t>
      </w:r>
      <w:r>
        <w:t xml:space="preserve"> </w:t>
      </w:r>
      <w:r>
        <w:rPr>
          <w:b/>
          <w:bCs/>
        </w:rPr>
        <w:t xml:space="preserve">+10%</w:t>
      </w:r>
    </w:p>
    <w:p>
      <w:pPr>
        <w:pStyle w:val="Compact"/>
        <w:numPr>
          <w:ilvl w:val="0"/>
          <w:numId w:val="1009"/>
        </w:numPr>
      </w:pPr>
      <w:r>
        <w:t xml:space="preserve">Closing Solutions:</w:t>
      </w:r>
      <w:r>
        <w:t xml:space="preserve"> </w:t>
      </w:r>
      <w:r>
        <w:rPr>
          <w:b/>
          <w:bCs/>
        </w:rPr>
        <w:t xml:space="preserve">+20%</w:t>
      </w:r>
    </w:p>
    <w:p>
      <w:pPr>
        <w:pStyle w:val="Compact"/>
        <w:numPr>
          <w:ilvl w:val="0"/>
          <w:numId w:val="1009"/>
        </w:numPr>
      </w:pPr>
      <w:r>
        <w:t xml:space="preserve">Servicing Software:</w:t>
      </w:r>
      <w:r>
        <w:t xml:space="preserve"> </w:t>
      </w:r>
      <w:r>
        <w:rPr>
          <w:b/>
          <w:bCs/>
        </w:rPr>
        <w:t xml:space="preserve">+1%</w:t>
      </w:r>
    </w:p>
    <w:p>
      <w:pPr>
        <w:pStyle w:val="Compact"/>
        <w:numPr>
          <w:ilvl w:val="0"/>
          <w:numId w:val="1009"/>
        </w:numPr>
      </w:pPr>
      <w:r>
        <w:t xml:space="preserve">Data and Analytics:</w:t>
      </w:r>
      <w:r>
        <w:t xml:space="preserve"> </w:t>
      </w:r>
      <w:r>
        <w:rPr>
          <w:b/>
          <w:bCs/>
        </w:rPr>
        <w:t xml:space="preserve">+1%</w:t>
      </w:r>
    </w:p>
    <w:p>
      <w:pPr>
        <w:pStyle w:val="Compact"/>
        <w:numPr>
          <w:ilvl w:val="0"/>
          <w:numId w:val="1009"/>
        </w:numPr>
      </w:pPr>
      <w:r>
        <w:t xml:space="preserve">Transaction revenue:</w:t>
      </w:r>
      <w:r>
        <w:t xml:space="preserve"> </w:t>
      </w:r>
      <w:r>
        <w:rPr>
          <w:b/>
          <w:bCs/>
        </w:rPr>
        <w:t xml:space="preserve">+22%</w:t>
      </w:r>
    </w:p>
    <w:p>
      <w:pPr>
        <w:pStyle w:val="Compact"/>
        <w:numPr>
          <w:ilvl w:val="0"/>
          <w:numId w:val="1009"/>
        </w:numPr>
      </w:pPr>
      <w:r>
        <w:t xml:space="preserve">Recurring revenue:</w:t>
      </w:r>
      <w:r>
        <w:t xml:space="preserve"> </w:t>
      </w:r>
      <w:r>
        <w:rPr>
          <w:b/>
          <w:bCs/>
        </w:rPr>
        <w:t xml:space="preserve">+1%</w:t>
      </w:r>
    </w:p>
    <w:p>
      <w:pPr>
        <w:pStyle w:val="FirstParagraph"/>
      </w:pPr>
      <w:r>
        <w:t xml:space="preserve">The adjusted segment margin was 39%. (</w:t>
      </w:r>
      <w:hyperlink r:id="rId15">
        <w:r>
          <w:rPr>
            <w:rStyle w:val="Hyperlink"/>
          </w:rPr>
          <w:t xml:space="preserve">ir.theice.com</w:t>
        </w:r>
      </w:hyperlink>
      <w:r>
        <w:t xml:space="preserve">)</w:t>
      </w:r>
    </w:p>
    <w:p>
      <w:pPr>
        <w:pStyle w:val="BodyText"/>
      </w:pPr>
      <w:r>
        <w:t xml:space="preserve">The encouraging part of the story is that transaction revenue has been outperforming the underlying mortgage market, helped by customer overages, implementation activity and cross-selling between Encompass and MSP. The concern is that the macro environment remains unsupportive.</w:t>
      </w:r>
    </w:p>
    <w:p>
      <w:pPr>
        <w:pStyle w:val="BodyText"/>
      </w:pPr>
      <w:r>
        <w:t xml:space="preserve">ICE’s latest mortgage data showed June prepayment speeds at a five-month low as mortgage rates remained elevated. Prepayments were still above the prior year, but the sequential slowdown suggests that refinancing activity did not provide an accelerating tailwind at quarter-end. (</w:t>
      </w:r>
      <w:hyperlink r:id="rId27">
        <w:r>
          <w:rPr>
            <w:rStyle w:val="Hyperlink"/>
          </w:rPr>
          <w:t xml:space="preserve">ir.theice.com</w:t>
        </w:r>
      </w:hyperlink>
      <w:r>
        <w:t xml:space="preserve">)</w:t>
      </w:r>
    </w:p>
    <w:bookmarkEnd w:id="28"/>
    <w:bookmarkStart w:id="30" w:name="what-to-watch"/>
    <w:p>
      <w:pPr>
        <w:pStyle w:val="Heading3"/>
      </w:pPr>
      <w:r>
        <w:t xml:space="preserve">What to watch</w:t>
      </w:r>
    </w:p>
    <w:p>
      <w:pPr>
        <w:pStyle w:val="Compact"/>
        <w:numPr>
          <w:ilvl w:val="0"/>
          <w:numId w:val="1010"/>
        </w:numPr>
      </w:pPr>
      <w:r>
        <w:rPr>
          <w:b/>
          <w:bCs/>
        </w:rPr>
        <w:t xml:space="preserve">Recurring revenue:</w:t>
      </w:r>
      <w:r>
        <w:t xml:space="preserve"> </w:t>
      </w:r>
      <w:r>
        <w:t xml:space="preserve">Does it remain stable after years of contract resets?</w:t>
      </w:r>
    </w:p>
    <w:p>
      <w:pPr>
        <w:pStyle w:val="Compact"/>
        <w:numPr>
          <w:ilvl w:val="0"/>
          <w:numId w:val="1010"/>
        </w:numPr>
      </w:pPr>
      <w:r>
        <w:rPr>
          <w:b/>
          <w:bCs/>
        </w:rPr>
        <w:t xml:space="preserve">Closed-loan overages:</w:t>
      </w:r>
      <w:r>
        <w:t xml:space="preserve"> </w:t>
      </w:r>
      <w:r>
        <w:t xml:space="preserve">Are customers continuing to exceed contractual minimums?</w:t>
      </w:r>
    </w:p>
    <w:p>
      <w:pPr>
        <w:pStyle w:val="Compact"/>
        <w:numPr>
          <w:ilvl w:val="0"/>
          <w:numId w:val="1010"/>
        </w:numPr>
      </w:pPr>
      <w:r>
        <w:rPr>
          <w:b/>
          <w:bCs/>
        </w:rPr>
        <w:t xml:space="preserve">Implementations:</w:t>
      </w:r>
      <w:r>
        <w:t xml:space="preserve"> </w:t>
      </w:r>
      <w:r>
        <w:t xml:space="preserve">Are recently signed Encompass and MSP customers going live on schedule?</w:t>
      </w:r>
    </w:p>
    <w:p>
      <w:pPr>
        <w:pStyle w:val="Compact"/>
        <w:numPr>
          <w:ilvl w:val="0"/>
          <w:numId w:val="1010"/>
        </w:numPr>
      </w:pPr>
      <w:r>
        <w:rPr>
          <w:b/>
          <w:bCs/>
        </w:rPr>
        <w:t xml:space="preserve">Cross-selling:</w:t>
      </w:r>
      <w:r>
        <w:t xml:space="preserve"> </w:t>
      </w:r>
      <w:r>
        <w:t xml:space="preserve">Is the combined Black Knight/Encompass platform producing measurable revenue?</w:t>
      </w:r>
    </w:p>
    <w:p>
      <w:pPr>
        <w:pStyle w:val="Compact"/>
        <w:numPr>
          <w:ilvl w:val="0"/>
          <w:numId w:val="1010"/>
        </w:numPr>
      </w:pPr>
      <w:r>
        <w:rPr>
          <w:b/>
          <w:bCs/>
        </w:rPr>
        <w:t xml:space="preserve">Margins:</w:t>
      </w:r>
      <w:r>
        <w:t xml:space="preserve"> </w:t>
      </w:r>
      <w:r>
        <w:t xml:space="preserve">Can adjusted margins remain near 40% while ICE continues modernizing the platform?</w:t>
      </w:r>
    </w:p>
    <w:p>
      <w:pPr>
        <w:pStyle w:val="Compact"/>
        <w:numPr>
          <w:ilvl w:val="0"/>
          <w:numId w:val="1010"/>
        </w:numPr>
      </w:pPr>
      <w:r>
        <w:rPr>
          <w:b/>
          <w:bCs/>
        </w:rPr>
        <w:t xml:space="preserve">2026 outlook:</w:t>
      </w:r>
      <w:r>
        <w:t xml:space="preserve"> </w:t>
      </w:r>
      <w:r>
        <w:t xml:space="preserve">ICE originally guided Mortgage Technology to low-to-mid-single-digit full-year growth. Confirmation or an upgrade would be constructive. (</w:t>
      </w:r>
      <w:hyperlink r:id="rId29">
        <w:r>
          <w:rPr>
            <w:rStyle w:val="Hyperlink"/>
          </w:rPr>
          <w:t xml:space="preserve">ir.theice.com</w:t>
        </w:r>
      </w:hyperlink>
      <w:r>
        <w:t xml:space="preserve">)</w:t>
      </w:r>
    </w:p>
    <w:p>
      <w:pPr>
        <w:pStyle w:val="FirstParagraph"/>
      </w:pPr>
      <w:r>
        <w:t xml:space="preserve">A good mortgage quarter does not require a housing recovery. It requires evidence that ICE is gaining wallet share and improving revenue per customer despite low industry volumes.</w:t>
      </w:r>
    </w:p>
    <w:bookmarkEnd w:id="30"/>
    <w:bookmarkEnd w:id="31"/>
    <w:bookmarkStart w:id="35" w:name="expenses-margins-and-capital-allocation"/>
    <w:p>
      <w:pPr>
        <w:pStyle w:val="Heading2"/>
      </w:pPr>
      <w:r>
        <w:t xml:space="preserve">Expenses, margins and capital allocation</w:t>
      </w:r>
    </w:p>
    <w:p>
      <w:pPr>
        <w:pStyle w:val="FirstParagraph"/>
      </w:pPr>
      <w:r>
        <w:t xml:space="preserve">ICE guided Q2 adjusted operating expenses to</w:t>
      </w:r>
      <w:r>
        <w:t xml:space="preserve"> </w:t>
      </w:r>
      <m:oMath>
        <m:r>
          <m:t>1.03</m:t>
        </m:r>
        <m:r>
          <m:rPr>
            <m:sty m:val="p"/>
          </m:rPr>
          <m:t>–</m:t>
        </m:r>
      </m:oMath>
      <w:r>
        <w:rPr>
          <w:b/>
          <w:bCs/>
        </w:rPr>
        <w:t xml:space="preserve">1.04 billion</w:t>
      </w:r>
      <w:r>
        <w:t xml:space="preserve">, roughly consistent with Q1. Full-year adjusted expense guidance was raised after Q1 to</w:t>
      </w:r>
      <w:r>
        <w:t xml:space="preserve"> </w:t>
      </w:r>
      <m:oMath>
        <m:r>
          <m:t>4.145</m:t>
        </m:r>
        <m:r>
          <m:rPr>
            <m:sty m:val="p"/>
          </m:rPr>
          <m:t>–</m:t>
        </m:r>
      </m:oMath>
      <w:r>
        <w:t xml:space="preserve">4.195 billion, reflecting stronger performance-linked costs and continued investment. (</w:t>
      </w:r>
      <w:hyperlink r:id="rId15">
        <w:r>
          <w:rPr>
            <w:rStyle w:val="Hyperlink"/>
          </w:rPr>
          <w:t xml:space="preserve">ir.theice.com</w:t>
        </w:r>
      </w:hyperlink>
      <w:r>
        <w:t xml:space="preserve">)</w:t>
      </w:r>
    </w:p>
    <w:p>
      <w:pPr>
        <w:pStyle w:val="BodyText"/>
      </w:pPr>
      <w:r>
        <w:t xml:space="preserve">Because Q1 included exceptional transaction revenue, the consolidated adjusted margin is likely to fall sequentially from Q1’s 65%. The relevant question is whether ICE still generates attractive year-over-year operating leverage.</w:t>
      </w:r>
    </w:p>
    <w:bookmarkStart w:id="32" w:name="constructive-margin-signals"/>
    <w:p>
      <w:pPr>
        <w:pStyle w:val="Heading3"/>
      </w:pPr>
      <w:r>
        <w:t xml:space="preserve">Constructive margin signals</w:t>
      </w:r>
    </w:p>
    <w:p>
      <w:pPr>
        <w:pStyle w:val="Compact"/>
        <w:numPr>
          <w:ilvl w:val="0"/>
          <w:numId w:val="1011"/>
        </w:numPr>
      </w:pPr>
      <w:r>
        <w:t xml:space="preserve">Expenses within or below the Q2 range</w:t>
      </w:r>
    </w:p>
    <w:p>
      <w:pPr>
        <w:pStyle w:val="Compact"/>
        <w:numPr>
          <w:ilvl w:val="0"/>
          <w:numId w:val="1011"/>
        </w:numPr>
      </w:pPr>
      <w:r>
        <w:t xml:space="preserve">Revenue growth comfortably exceeding expense growth</w:t>
      </w:r>
    </w:p>
    <w:p>
      <w:pPr>
        <w:pStyle w:val="Compact"/>
        <w:numPr>
          <w:ilvl w:val="0"/>
          <w:numId w:val="1011"/>
        </w:numPr>
      </w:pPr>
      <w:r>
        <w:t xml:space="preserve">No material increase in the full-year expense outlook</w:t>
      </w:r>
    </w:p>
    <w:p>
      <w:pPr>
        <w:pStyle w:val="Compact"/>
        <w:numPr>
          <w:ilvl w:val="0"/>
          <w:numId w:val="1011"/>
        </w:numPr>
      </w:pPr>
      <w:r>
        <w:t xml:space="preserve">Continued high incremental margins in Exchanges</w:t>
      </w:r>
    </w:p>
    <w:p>
      <w:pPr>
        <w:pStyle w:val="Compact"/>
        <w:numPr>
          <w:ilvl w:val="0"/>
          <w:numId w:val="1011"/>
        </w:numPr>
      </w:pPr>
      <w:r>
        <w:t xml:space="preserve">Stable or improving Mortgage Technology margins</w:t>
      </w:r>
    </w:p>
    <w:bookmarkEnd w:id="32"/>
    <w:bookmarkStart w:id="34" w:name="capital-deployment"/>
    <w:p>
      <w:pPr>
        <w:pStyle w:val="Heading3"/>
      </w:pPr>
      <w:r>
        <w:t xml:space="preserve">Capital deployment</w:t>
      </w:r>
    </w:p>
    <w:p>
      <w:pPr>
        <w:pStyle w:val="FirstParagraph"/>
      </w:pPr>
      <w:r>
        <w:t xml:space="preserve">ICE generated $1.15 billion of adjusted free cash flow in Q1 and repurchased $551 million of stock while carrying $20.4 billion of debt at March 31. (</w:t>
      </w:r>
      <w:hyperlink r:id="rId15">
        <w:r>
          <w:rPr>
            <w:rStyle w:val="Hyperlink"/>
          </w:rPr>
          <w:t xml:space="preserve">ir.theice.com</w:t>
        </w:r>
      </w:hyperlink>
      <w:r>
        <w:t xml:space="preserve">)</w:t>
      </w:r>
    </w:p>
    <w:p>
      <w:pPr>
        <w:pStyle w:val="BodyText"/>
      </w:pPr>
      <w:r>
        <w:t xml:space="preserve">Investors should expect questions about the balance among:</w:t>
      </w:r>
    </w:p>
    <w:p>
      <w:pPr>
        <w:pStyle w:val="Compact"/>
        <w:numPr>
          <w:ilvl w:val="0"/>
          <w:numId w:val="1012"/>
        </w:numPr>
      </w:pPr>
      <w:r>
        <w:t xml:space="preserve">Debt reduction</w:t>
      </w:r>
    </w:p>
    <w:p>
      <w:pPr>
        <w:pStyle w:val="Compact"/>
        <w:numPr>
          <w:ilvl w:val="0"/>
          <w:numId w:val="1012"/>
        </w:numPr>
      </w:pPr>
      <w:r>
        <w:t xml:space="preserve">Share repurchases</w:t>
      </w:r>
    </w:p>
    <w:p>
      <w:pPr>
        <w:pStyle w:val="Compact"/>
        <w:numPr>
          <w:ilvl w:val="0"/>
          <w:numId w:val="1012"/>
        </w:numPr>
      </w:pPr>
      <w:r>
        <w:t xml:space="preserve">Dividends</w:t>
      </w:r>
    </w:p>
    <w:p>
      <w:pPr>
        <w:pStyle w:val="Compact"/>
        <w:numPr>
          <w:ilvl w:val="0"/>
          <w:numId w:val="1012"/>
        </w:numPr>
      </w:pPr>
      <w:r>
        <w:t xml:space="preserve">Internal investment</w:t>
      </w:r>
    </w:p>
    <w:p>
      <w:pPr>
        <w:pStyle w:val="Compact"/>
        <w:numPr>
          <w:ilvl w:val="0"/>
          <w:numId w:val="1012"/>
        </w:numPr>
      </w:pPr>
      <w:r>
        <w:t xml:space="preserve">Strategic minority investments and M&amp;A</w:t>
      </w:r>
    </w:p>
    <w:p>
      <w:pPr>
        <w:pStyle w:val="FirstParagraph"/>
      </w:pPr>
      <w:r>
        <w:t xml:space="preserve">The company committed another $600 million to Polymarket in March and made an undisclosed minority investment in OKX. ICE said the OKX investment was not expected to materially affect 2026 results or capital returns. (</w:t>
      </w:r>
      <w:hyperlink r:id="rId33">
        <w:r>
          <w:rPr>
            <w:rStyle w:val="Hyperlink"/>
          </w:rPr>
          <w:t xml:space="preserve">ir.theice.com</w:t>
        </w:r>
      </w:hyperlink>
      <w:r>
        <w:t xml:space="preserve">)</w:t>
      </w:r>
    </w:p>
    <w:p>
      <w:pPr>
        <w:pStyle w:val="BodyText"/>
      </w:pPr>
      <w:r>
        <w:t xml:space="preserve">Management will need to demonstrate that these investments are extensions of ICE’s core data, distribution and market-infrastructure advantages—not a drift toward less disciplined venture investing.</w:t>
      </w:r>
    </w:p>
    <w:bookmarkEnd w:id="34"/>
    <w:bookmarkEnd w:id="35"/>
    <w:bookmarkStart w:id="36" w:name="X28d4cf0dbe161eee9d71c2c1675bd2dcae61f45"/>
    <w:p>
      <w:pPr>
        <w:pStyle w:val="Heading2"/>
      </w:pPr>
      <w:r>
        <w:t xml:space="preserve">The five most important questions for the call</w:t>
      </w:r>
    </w:p>
    <w:p>
      <w:pPr>
        <w:numPr>
          <w:ilvl w:val="0"/>
          <w:numId w:val="1013"/>
        </w:numPr>
      </w:pPr>
      <w:r>
        <w:rPr>
          <w:b/>
          <w:bCs/>
        </w:rPr>
        <w:t xml:space="preserve">How much of the Q1 exchange surge has persisted?</w:t>
      </w:r>
      <w:r>
        <w:br/>
      </w:r>
      <w:r>
        <w:t xml:space="preserve">Open interest remains strong, but investors need a bridge between contract statistics and revenue.</w:t>
      </w:r>
    </w:p>
    <w:p>
      <w:pPr>
        <w:numPr>
          <w:ilvl w:val="0"/>
          <w:numId w:val="1013"/>
        </w:numPr>
      </w:pPr>
      <w:r>
        <w:rPr>
          <w:b/>
          <w:bCs/>
        </w:rPr>
        <w:t xml:space="preserve">Can FIDS recurring revenue remain in the high single digits?</w:t>
      </w:r>
      <w:r>
        <w:br/>
      </w:r>
      <w:r>
        <w:t xml:space="preserve">This is probably the most important metric for the stock’s long-term multiple.</w:t>
      </w:r>
    </w:p>
    <w:p>
      <w:pPr>
        <w:numPr>
          <w:ilvl w:val="0"/>
          <w:numId w:val="1013"/>
        </w:numPr>
      </w:pPr>
      <w:r>
        <w:rPr>
          <w:b/>
          <w:bCs/>
        </w:rPr>
        <w:t xml:space="preserve">Is Mortgage Technology now growing independently of market volumes?</w:t>
      </w:r>
      <w:r>
        <w:br/>
      </w:r>
      <w:r>
        <w:t xml:space="preserve">Look for implementations, cross-sales and transaction overages rather than macro optimism.</w:t>
      </w:r>
    </w:p>
    <w:p>
      <w:pPr>
        <w:numPr>
          <w:ilvl w:val="0"/>
          <w:numId w:val="1013"/>
        </w:numPr>
      </w:pPr>
      <w:r>
        <w:rPr>
          <w:b/>
          <w:bCs/>
        </w:rPr>
        <w:t xml:space="preserve">Will full-year expense guidance move again?</w:t>
      </w:r>
      <w:r>
        <w:br/>
      </w:r>
      <w:r>
        <w:t xml:space="preserve">Another increase without a corresponding improvement in the recurring-revenue outlook would be poorly received.</w:t>
      </w:r>
    </w:p>
    <w:p>
      <w:pPr>
        <w:numPr>
          <w:ilvl w:val="0"/>
          <w:numId w:val="1013"/>
        </w:numPr>
      </w:pPr>
      <w:r>
        <w:rPr>
          <w:b/>
          <w:bCs/>
        </w:rPr>
        <w:t xml:space="preserve">What are the monetization timelines for private credit, tokenized securities, OKX and Polymarket?</w:t>
      </w:r>
      <w:r>
        <w:br/>
      </w:r>
      <w:r>
        <w:t xml:space="preserve">Investors need milestones and economics, not only a strategic narrative.</w:t>
      </w:r>
    </w:p>
    <w:bookmarkEnd w:id="36"/>
    <w:bookmarkStart w:id="40" w:name="potential-stock-reaction-framework"/>
    <w:p>
      <w:pPr>
        <w:pStyle w:val="Heading2"/>
      </w:pPr>
      <w:r>
        <w:t xml:space="preserve">Potential stock-reaction framework</w:t>
      </w:r>
    </w:p>
    <w:bookmarkStart w:id="37" w:name="bull-case"/>
    <w:p>
      <w:pPr>
        <w:pStyle w:val="Heading3"/>
      </w:pPr>
      <w:r>
        <w:t xml:space="preserve">Bull case</w:t>
      </w:r>
    </w:p>
    <w:p>
      <w:pPr>
        <w:pStyle w:val="Compact"/>
        <w:numPr>
          <w:ilvl w:val="0"/>
          <w:numId w:val="1014"/>
        </w:numPr>
      </w:pPr>
      <w:r>
        <w:t xml:space="preserve">Adjusted EPS near or above the upper end of published expectations</w:t>
      </w:r>
    </w:p>
    <w:p>
      <w:pPr>
        <w:pStyle w:val="Compact"/>
        <w:numPr>
          <w:ilvl w:val="0"/>
          <w:numId w:val="1014"/>
        </w:numPr>
      </w:pPr>
      <w:r>
        <w:t xml:space="preserve">Exchange revenue holds up better than expected after Q1</w:t>
      </w:r>
    </w:p>
    <w:p>
      <w:pPr>
        <w:pStyle w:val="Compact"/>
        <w:numPr>
          <w:ilvl w:val="0"/>
          <w:numId w:val="1014"/>
        </w:numPr>
      </w:pPr>
      <w:r>
        <w:t xml:space="preserve">FIDS recurring growth remains around 8% or accelerates</w:t>
      </w:r>
    </w:p>
    <w:p>
      <w:pPr>
        <w:pStyle w:val="Compact"/>
        <w:numPr>
          <w:ilvl w:val="0"/>
          <w:numId w:val="1014"/>
        </w:numPr>
      </w:pPr>
      <w:r>
        <w:t xml:space="preserve">Mortgage revenue grows mid-single digits or better with stable margins</w:t>
      </w:r>
    </w:p>
    <w:p>
      <w:pPr>
        <w:pStyle w:val="Compact"/>
        <w:numPr>
          <w:ilvl w:val="0"/>
          <w:numId w:val="1014"/>
        </w:numPr>
      </w:pPr>
      <w:r>
        <w:t xml:space="preserve">Expense guidance is maintained</w:t>
      </w:r>
    </w:p>
    <w:p>
      <w:pPr>
        <w:pStyle w:val="Compact"/>
        <w:numPr>
          <w:ilvl w:val="0"/>
          <w:numId w:val="1014"/>
        </w:numPr>
      </w:pPr>
      <w:r>
        <w:t xml:space="preserve">Management describes open-interest growth as durable customer adoption</w:t>
      </w:r>
    </w:p>
    <w:bookmarkEnd w:id="37"/>
    <w:bookmarkStart w:id="38" w:name="base-case"/>
    <w:p>
      <w:pPr>
        <w:pStyle w:val="Heading3"/>
      </w:pPr>
      <w:r>
        <w:t xml:space="preserve">Base case</w:t>
      </w:r>
    </w:p>
    <w:p>
      <w:pPr>
        <w:pStyle w:val="Compact"/>
        <w:numPr>
          <w:ilvl w:val="0"/>
          <w:numId w:val="1015"/>
        </w:numPr>
      </w:pPr>
      <w:r>
        <w:t xml:space="preserve">Headline results roughly in line</w:t>
      </w:r>
    </w:p>
    <w:p>
      <w:pPr>
        <w:pStyle w:val="Compact"/>
        <w:numPr>
          <w:ilvl w:val="0"/>
          <w:numId w:val="1015"/>
        </w:numPr>
      </w:pPr>
      <w:r>
        <w:t xml:space="preserve">Strong rates and agriculture offset lower sequential energy revenue</w:t>
      </w:r>
    </w:p>
    <w:p>
      <w:pPr>
        <w:pStyle w:val="Compact"/>
        <w:numPr>
          <w:ilvl w:val="0"/>
          <w:numId w:val="1015"/>
        </w:numPr>
      </w:pPr>
      <w:r>
        <w:t xml:space="preserve">FIDS growth moderates slightly but remains healthy</w:t>
      </w:r>
    </w:p>
    <w:p>
      <w:pPr>
        <w:pStyle w:val="Compact"/>
        <w:numPr>
          <w:ilvl w:val="0"/>
          <w:numId w:val="1015"/>
        </w:numPr>
      </w:pPr>
      <w:r>
        <w:t xml:space="preserve">Mortgage continues gradual improvement</w:t>
      </w:r>
    </w:p>
    <w:p>
      <w:pPr>
        <w:pStyle w:val="Compact"/>
        <w:numPr>
          <w:ilvl w:val="0"/>
          <w:numId w:val="1015"/>
        </w:numPr>
      </w:pPr>
      <w:r>
        <w:t xml:space="preserve">Full-year guidance is reiterated</w:t>
      </w:r>
    </w:p>
    <w:p>
      <w:pPr>
        <w:pStyle w:val="FirstParagraph"/>
      </w:pPr>
      <w:r>
        <w:t xml:space="preserve">This would be a fundamentally sound result, although the stock response could depend on how much strength is already embedded in expectations.</w:t>
      </w:r>
    </w:p>
    <w:bookmarkEnd w:id="38"/>
    <w:bookmarkStart w:id="39" w:name="bear-case"/>
    <w:p>
      <w:pPr>
        <w:pStyle w:val="Heading3"/>
      </w:pPr>
      <w:r>
        <w:t xml:space="preserve">Bear case</w:t>
      </w:r>
    </w:p>
    <w:p>
      <w:pPr>
        <w:pStyle w:val="Compact"/>
        <w:numPr>
          <w:ilvl w:val="0"/>
          <w:numId w:val="1016"/>
        </w:numPr>
      </w:pPr>
      <w:r>
        <w:t xml:space="preserve">Energy revenue normalizes more sharply than anticipated</w:t>
      </w:r>
    </w:p>
    <w:p>
      <w:pPr>
        <w:pStyle w:val="Compact"/>
        <w:numPr>
          <w:ilvl w:val="0"/>
          <w:numId w:val="1016"/>
        </w:numPr>
      </w:pPr>
      <w:r>
        <w:t xml:space="preserve">FIDS recurring growth falls toward low-to-mid single digits</w:t>
      </w:r>
    </w:p>
    <w:p>
      <w:pPr>
        <w:pStyle w:val="Compact"/>
        <w:numPr>
          <w:ilvl w:val="0"/>
          <w:numId w:val="1016"/>
        </w:numPr>
      </w:pPr>
      <w:r>
        <w:t xml:space="preserve">Mortgage recurring revenue declines or margins weaken</w:t>
      </w:r>
    </w:p>
    <w:p>
      <w:pPr>
        <w:pStyle w:val="Compact"/>
        <w:numPr>
          <w:ilvl w:val="0"/>
          <w:numId w:val="1016"/>
        </w:numPr>
      </w:pPr>
      <w:r>
        <w:t xml:space="preserve">Full-year expenses are raised again</w:t>
      </w:r>
    </w:p>
    <w:p>
      <w:pPr>
        <w:pStyle w:val="Compact"/>
        <w:numPr>
          <w:ilvl w:val="0"/>
          <w:numId w:val="1016"/>
        </w:numPr>
      </w:pPr>
      <w:r>
        <w:t xml:space="preserve">Buybacks slow while capital shifts toward strategic investments</w:t>
      </w:r>
    </w:p>
    <w:p>
      <w:pPr>
        <w:pStyle w:val="Compact"/>
        <w:numPr>
          <w:ilvl w:val="0"/>
          <w:numId w:val="1016"/>
        </w:numPr>
      </w:pPr>
      <w:r>
        <w:t xml:space="preserve">Management provides little evidence of near-term monetization from its newer initiatives</w:t>
      </w:r>
    </w:p>
    <w:bookmarkEnd w:id="39"/>
    <w:bookmarkEnd w:id="40"/>
    <w:bookmarkStart w:id="41" w:name="bottom-line"/>
    <w:p>
      <w:pPr>
        <w:pStyle w:val="Heading2"/>
      </w:pPr>
      <w:r>
        <w:t xml:space="preserve">Bottom line</w:t>
      </w:r>
    </w:p>
    <w:p>
      <w:pPr>
        <w:pStyle w:val="FirstParagraph"/>
      </w:pPr>
      <w:r>
        <w:t xml:space="preserve">The pre-report evidence supports a</w:t>
      </w:r>
      <w:r>
        <w:t xml:space="preserve"> </w:t>
      </w:r>
      <w:r>
        <w:rPr>
          <w:b/>
          <w:bCs/>
        </w:rPr>
        <w:t xml:space="preserve">good Q2, not another Q1-style blowout</w:t>
      </w:r>
      <w:r>
        <w:t xml:space="preserve">. ICE’s published statistics make strong growth in rates, agriculture and NYSE options highly likely, while energy is the main source of sequential normalization.</w:t>
      </w:r>
    </w:p>
    <w:p>
      <w:pPr>
        <w:pStyle w:val="BodyText"/>
      </w:pPr>
      <w:r>
        <w:t xml:space="preserve">The most important metric is arguably not adjusted EPS. It is the combination of:</w:t>
      </w:r>
    </w:p>
    <w:p>
      <w:pPr>
        <w:pStyle w:val="Compact"/>
        <w:numPr>
          <w:ilvl w:val="0"/>
          <w:numId w:val="1017"/>
        </w:numPr>
      </w:pPr>
      <w:r>
        <w:rPr>
          <w:b/>
          <w:bCs/>
        </w:rPr>
        <w:t xml:space="preserve">FIDS recurring-revenue growth</w:t>
      </w:r>
    </w:p>
    <w:p>
      <w:pPr>
        <w:pStyle w:val="Compact"/>
        <w:numPr>
          <w:ilvl w:val="0"/>
          <w:numId w:val="1017"/>
        </w:numPr>
      </w:pPr>
      <w:r>
        <w:rPr>
          <w:b/>
          <w:bCs/>
        </w:rPr>
        <w:t xml:space="preserve">Exchange open-interest durability</w:t>
      </w:r>
    </w:p>
    <w:p>
      <w:pPr>
        <w:pStyle w:val="Compact"/>
        <w:numPr>
          <w:ilvl w:val="0"/>
          <w:numId w:val="1017"/>
        </w:numPr>
      </w:pPr>
      <w:r>
        <w:rPr>
          <w:b/>
          <w:bCs/>
        </w:rPr>
        <w:t xml:space="preserve">Mortgage execution independent of industry volumes</w:t>
      </w:r>
    </w:p>
    <w:p>
      <w:pPr>
        <w:pStyle w:val="Compact"/>
        <w:numPr>
          <w:ilvl w:val="0"/>
          <w:numId w:val="1017"/>
        </w:numPr>
      </w:pPr>
      <w:r>
        <w:rPr>
          <w:b/>
          <w:bCs/>
        </w:rPr>
        <w:t xml:space="preserve">Expense discipline</w:t>
      </w:r>
    </w:p>
    <w:p>
      <w:pPr>
        <w:pStyle w:val="FirstParagraph"/>
      </w:pPr>
      <w:r>
        <w:t xml:space="preserve">A clean report would show that Q1 was more than a volatility windfall: exceptional transaction revenue would be followed by sustained customer participation, high-single-digit data growth and continued mortgage improvement. That would reinforce ICE’s case as a diversified financial-infrastructure compounder rather than simply a beneficiary of turbulent markets.</w:t>
      </w:r>
    </w:p>
    <w:bookmarkEnd w:id="41"/>
    <w:bookmarkEnd w:id="4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4" Target="https://ir.theice.com/press/news-details/2026/ICE-Clear-Credits-Treasury-Clearing-Service-Receives-SEC-Approval-and-is-Now-Operationally-Live/default.aspx?utm_source=openai" TargetMode="External" /><Relationship Type="http://schemas.openxmlformats.org/officeDocument/2006/relationships/hyperlink" Id="rId27" Target="https://ir.theice.com/press/news-details/2026/ICE-First-Look-at-Mortgage-Performance-New-Default-Activity-Posts-Annual-Decline-Led-by-FHA-Loans/default.aspx" TargetMode="External" /><Relationship Type="http://schemas.openxmlformats.org/officeDocument/2006/relationships/hyperlink" Id="rId23" Target="https://ir.theice.com/press/news-details/2026/ICE-Launches-Polymarket-Signals-and-Sentiment-Tool-Turning-Crowd-Sourced-Dynamic-Views-into-Market-Opportunities/default.aspx?utm_source=openai" TargetMode="External" /><Relationship Type="http://schemas.openxmlformats.org/officeDocument/2006/relationships/hyperlink" Id="rId33" Target="https://ir.theice.com/press/news-details/2026/ICE-Makes-Investment-in-OKX-Establishing-Strategic-Relationship/default.aspx?utm_source=openai" TargetMode="External" /><Relationship Type="http://schemas.openxmlformats.org/officeDocument/2006/relationships/hyperlink" Id="rId22" Target="https://ir.theice.com/press/news-details/2026/Intercontinental-Exchange-Launches-ICE-Private-Credit-Intelligence-with-Apollo-as-Anchor-Partner/default.aspx?utm_source=openai" TargetMode="External" /><Relationship Type="http://schemas.openxmlformats.org/officeDocument/2006/relationships/hyperlink" Id="rId13" Target="https://ir.theice.com/press/news-details/2026/Intercontinental-Exchange-Reports-April-2026-Statistics/default.aspx?utm_source=openai" TargetMode="External" /><Relationship Type="http://schemas.openxmlformats.org/officeDocument/2006/relationships/hyperlink" Id="rId12" Target="https://ir.theice.com/press/news-details/2026/Intercontinental-Exchange-Reports-June-and-Second-Quarter-2026-Statistics/default.aspx" TargetMode="External" /><Relationship Type="http://schemas.openxmlformats.org/officeDocument/2006/relationships/hyperlink" Id="rId15" Target="https://ir.theice.com/press/news-details/2026/Intercontinental-Exchange-Reports-Record-First-Quarter-2026/default.aspx?utm_source=openai" TargetMode="External" /><Relationship Type="http://schemas.openxmlformats.org/officeDocument/2006/relationships/hyperlink" Id="rId29" Target="https://ir.theice.com/press/news-details/2026/Intercontinental-Exchange-Reports-Strong-Full-Year-2025-Results/?utm_source=openai" TargetMode="External" /><Relationship Type="http://schemas.openxmlformats.org/officeDocument/2006/relationships/hyperlink" Id="rId10" Target="https://www.marketbeat.com/earnings/reports/2026-7-30-intercontinental-exchange-inc-stock/" TargetMode="External" /></Relationships>
</file>

<file path=word/_rels/footnotes.xml.rels><?xml version="1.0" encoding="UTF-8"?><Relationships xmlns="http://schemas.openxmlformats.org/package/2006/relationships"><Relationship Type="http://schemas.openxmlformats.org/officeDocument/2006/relationships/hyperlink" Id="rId24" Target="https://ir.theice.com/press/news-details/2026/ICE-Clear-Credits-Treasury-Clearing-Service-Receives-SEC-Approval-and-is-Now-Operationally-Live/default.aspx?utm_source=openai" TargetMode="External" /><Relationship Type="http://schemas.openxmlformats.org/officeDocument/2006/relationships/hyperlink" Id="rId27" Target="https://ir.theice.com/press/news-details/2026/ICE-First-Look-at-Mortgage-Performance-New-Default-Activity-Posts-Annual-Decline-Led-by-FHA-Loans/default.aspx" TargetMode="External" /><Relationship Type="http://schemas.openxmlformats.org/officeDocument/2006/relationships/hyperlink" Id="rId23" Target="https://ir.theice.com/press/news-details/2026/ICE-Launches-Polymarket-Signals-and-Sentiment-Tool-Turning-Crowd-Sourced-Dynamic-Views-into-Market-Opportunities/default.aspx?utm_source=openai" TargetMode="External" /><Relationship Type="http://schemas.openxmlformats.org/officeDocument/2006/relationships/hyperlink" Id="rId33" Target="https://ir.theice.com/press/news-details/2026/ICE-Makes-Investment-in-OKX-Establishing-Strategic-Relationship/default.aspx?utm_source=openai" TargetMode="External" /><Relationship Type="http://schemas.openxmlformats.org/officeDocument/2006/relationships/hyperlink" Id="rId22" Target="https://ir.theice.com/press/news-details/2026/Intercontinental-Exchange-Launches-ICE-Private-Credit-Intelligence-with-Apollo-as-Anchor-Partner/default.aspx?utm_source=openai" TargetMode="External" /><Relationship Type="http://schemas.openxmlformats.org/officeDocument/2006/relationships/hyperlink" Id="rId13" Target="https://ir.theice.com/press/news-details/2026/Intercontinental-Exchange-Reports-April-2026-Statistics/default.aspx?utm_source=openai" TargetMode="External" /><Relationship Type="http://schemas.openxmlformats.org/officeDocument/2006/relationships/hyperlink" Id="rId12" Target="https://ir.theice.com/press/news-details/2026/Intercontinental-Exchange-Reports-June-and-Second-Quarter-2026-Statistics/default.aspx" TargetMode="External" /><Relationship Type="http://schemas.openxmlformats.org/officeDocument/2006/relationships/hyperlink" Id="rId15" Target="https://ir.theice.com/press/news-details/2026/Intercontinental-Exchange-Reports-Record-First-Quarter-2026/default.aspx?utm_source=openai" TargetMode="External" /><Relationship Type="http://schemas.openxmlformats.org/officeDocument/2006/relationships/hyperlink" Id="rId29" Target="https://ir.theice.com/press/news-details/2026/Intercontinental-Exchange-Reports-Strong-Full-Year-2025-Results/?utm_source=openai" TargetMode="External" /><Relationship Type="http://schemas.openxmlformats.org/officeDocument/2006/relationships/hyperlink" Id="rId10" Target="https://www.marketbeat.com/earnings/reports/2026-7-30-intercontinental-exchange-inc-stoc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2026-07-29T18:06:06Z</dcterms:created>
  <dcterms:modified xsi:type="dcterms:W3CDTF">2026-07-29T18:06:06Z</dcterms:modified>
</cp:coreProperties>
</file>

<file path=docProps/custom.xml><?xml version="1.0" encoding="utf-8"?>
<Properties xmlns="http://schemas.openxmlformats.org/officeDocument/2006/custom-properties" xmlns:vt="http://schemas.openxmlformats.org/officeDocument/2006/docPropsVTypes"/>
</file>