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ice-2q26-earnings-preview"/>
    <w:p>
      <w:pPr>
        <w:pStyle w:val="Heading1"/>
      </w:pPr>
      <w:r>
        <w:t xml:space="preserve">ICE 2Q26 Earnings Preview</w:t>
      </w:r>
    </w:p>
    <w:p>
      <w:pPr>
        <w:pStyle w:val="FirstParagraph"/>
      </w:pPr>
      <w:r>
        <w:rPr>
          <w:b/>
          <w:bCs/>
        </w:rPr>
        <w:t xml:space="preserve">Reporting date:</w:t>
      </w:r>
      <w:r>
        <w:t xml:space="preserve"> </w:t>
      </w:r>
      <w:r>
        <w:t xml:space="preserve">Thursday,</w:t>
      </w:r>
      <w:r>
        <w:t xml:space="preserve"> </w:t>
      </w:r>
      <w:r>
        <w:rPr>
          <w:b/>
          <w:bCs/>
        </w:rPr>
        <w:t xml:space="preserve">July 30, 2026</w:t>
      </w:r>
      <w:r>
        <w:t xml:space="preserve">, before market open; conference call at</w:t>
      </w:r>
      <w:r>
        <w:t xml:space="preserve"> </w:t>
      </w:r>
      <w:r>
        <w:rPr>
          <w:b/>
          <w:bCs/>
        </w:rPr>
        <w:t xml:space="preserve">8:30 a.m. ET</w:t>
      </w:r>
      <w:r>
        <w:t xml:space="preserve">.</w:t>
      </w:r>
    </w:p>
    <w:bookmarkStart w:id="10" w:name="X70070ee673d6b84eb7b9cf1e24ba49846a38f19"/>
    <w:p>
      <w:pPr>
        <w:pStyle w:val="Heading2"/>
      </w:pPr>
      <w:r>
        <w:t xml:space="preserve">Investment view: strong setup, but the debate is shifting from “how strong was volatility?” to “how durable is the run-rate?”</w:t>
      </w:r>
    </w:p>
    <w:p>
      <w:pPr>
        <w:pStyle w:val="FirstParagraph"/>
      </w:pPr>
      <w:r>
        <w:t xml:space="preserve">ICE enters 2Q with unusually favorable disclosed operating indicators. The core Exchange franchise should again deliver healthy growth, led by interest-rate derivatives, agricultural and metals contracts, and NYSE equity-options activity. Meanwhile, FIDS remains a high-quality recurring-growth counterweight, and Mortgage Technology appears to be progressing from a drag toward a modest growth contributor.</w:t>
      </w:r>
    </w:p>
    <w:p>
      <w:pPr>
        <w:pStyle w:val="BodyText"/>
      </w:pPr>
      <w:r>
        <w:t xml:space="preserve">The principal risk is comparison quality.</w:t>
      </w:r>
      <w:r>
        <w:t xml:space="preserve"> </w:t>
      </w:r>
      <w:r>
        <w:rPr>
          <w:b/>
          <w:bCs/>
        </w:rPr>
        <w:t xml:space="preserve">1Q26 was extraordinary</w:t>
      </w:r>
      <w:r>
        <w:t xml:space="preserve">: net revenues rose 20% year over year to $3.0 billion and adjusted EPS rose 37% to $2.35, powered by record activity in energy and interest-rate markets. The 2Q setup still looks strong, but it is unlikely to benefit from the same broad, crisis-like surge in energy volumes. Thus, the key determinant of the stock reaction is likely to be whether ICE demonstrates that higher open interest, participation, and recurring revenue can sustain earnings power even as headline volatility moderates. (</w:t>
      </w:r>
      <w:hyperlink r:id="rId9">
        <w:r>
          <w:rPr>
            <w:rStyle w:val="Hyperlink"/>
          </w:rPr>
          <w:t xml:space="preserve">ir.theice.com</w:t>
        </w:r>
      </w:hyperlink>
      <w:r>
        <w:t xml:space="preserve">)</w:t>
      </w:r>
    </w:p>
    <w:bookmarkEnd w:id="10"/>
    <w:bookmarkStart w:id="18" w:name="what-matters-most-this-quarter"/>
    <w:p>
      <w:pPr>
        <w:pStyle w:val="Heading2"/>
      </w:pPr>
      <w:r>
        <w:t xml:space="preserve">What matters most this quarter</w:t>
      </w:r>
    </w:p>
    <w:bookmarkStart w:id="12" w:name="Xf6acbb74829316b439390f91d97e57b8364f66e"/>
    <w:p>
      <w:pPr>
        <w:pStyle w:val="Heading3"/>
      </w:pPr>
      <w:r>
        <w:t xml:space="preserve">1. Exchange revenue: financial derivatives appear positioned to offset any energy normalization</w:t>
      </w:r>
    </w:p>
    <w:p>
      <w:pPr>
        <w:pStyle w:val="FirstParagraph"/>
      </w:pPr>
      <w:r>
        <w:t xml:space="preserve">ICE’s published second-quarter statistics point to a very constructive rate-derivatives backdrop:</w:t>
      </w:r>
    </w:p>
    <w:p>
      <w:pPr>
        <w:pStyle w:val="Compact"/>
        <w:numPr>
          <w:ilvl w:val="0"/>
          <w:numId w:val="1001"/>
        </w:numPr>
      </w:pPr>
      <w:r>
        <w:rPr>
          <w:b/>
          <w:bCs/>
        </w:rPr>
        <w:t xml:space="preserve">Financials ADV increased 22% year over year</w:t>
      </w:r>
      <w:r>
        <w:t xml:space="preserve"> </w:t>
      </w:r>
      <w:r>
        <w:t xml:space="preserve">in 2Q.</w:t>
      </w:r>
    </w:p>
    <w:p>
      <w:pPr>
        <w:pStyle w:val="Compact"/>
        <w:numPr>
          <w:ilvl w:val="0"/>
          <w:numId w:val="1001"/>
        </w:numPr>
      </w:pPr>
      <w:r>
        <w:rPr>
          <w:b/>
          <w:bCs/>
        </w:rPr>
        <w:t xml:space="preserve">Interest-rate ADV increased 24%</w:t>
      </w:r>
      <w:r>
        <w:t xml:space="preserve">, including Euribor</w:t>
      </w:r>
      <w:r>
        <w:t xml:space="preserve"> </w:t>
      </w:r>
      <w:r>
        <w:rPr>
          <w:b/>
          <w:bCs/>
        </w:rPr>
        <w:t xml:space="preserve">+12%</w:t>
      </w:r>
      <w:r>
        <w:t xml:space="preserve">, SONIA</w:t>
      </w:r>
      <w:r>
        <w:t xml:space="preserve"> </w:t>
      </w:r>
      <w:r>
        <w:rPr>
          <w:b/>
          <w:bCs/>
        </w:rPr>
        <w:t xml:space="preserve">+39%</w:t>
      </w:r>
      <w:r>
        <w:t xml:space="preserve">, and Gilts</w:t>
      </w:r>
      <w:r>
        <w:t xml:space="preserve"> </w:t>
      </w:r>
      <w:r>
        <w:rPr>
          <w:b/>
          <w:bCs/>
        </w:rPr>
        <w:t xml:space="preserve">+18%</w:t>
      </w:r>
      <w:r>
        <w:t xml:space="preserve">.</w:t>
      </w:r>
    </w:p>
    <w:p>
      <w:pPr>
        <w:pStyle w:val="Compact"/>
        <w:numPr>
          <w:ilvl w:val="0"/>
          <w:numId w:val="1001"/>
        </w:numPr>
      </w:pPr>
      <w:r>
        <w:t xml:space="preserve">Financial open interest remained elevated into June: total Financials OI was</w:t>
      </w:r>
      <w:r>
        <w:t xml:space="preserve"> </w:t>
      </w:r>
      <w:r>
        <w:rPr>
          <w:b/>
          <w:bCs/>
        </w:rPr>
        <w:t xml:space="preserve">+46%</w:t>
      </w:r>
      <w:r>
        <w:t xml:space="preserve"> </w:t>
      </w:r>
      <w:r>
        <w:t xml:space="preserve">year over year, while interest-rate OI was</w:t>
      </w:r>
      <w:r>
        <w:t xml:space="preserve"> </w:t>
      </w:r>
      <w:r>
        <w:rPr>
          <w:b/>
          <w:bCs/>
        </w:rPr>
        <w:t xml:space="preserve">+52%</w:t>
      </w:r>
      <w:r>
        <w:t xml:space="preserve">.</w:t>
      </w:r>
    </w:p>
    <w:p>
      <w:pPr>
        <w:pStyle w:val="Compact"/>
        <w:numPr>
          <w:ilvl w:val="0"/>
          <w:numId w:val="1001"/>
        </w:numPr>
      </w:pPr>
      <w:r>
        <w:t xml:space="preserve">ICE also reported 2Q growth in NYSE cash equities ADV (</w:t>
      </w:r>
      <w:r>
        <w:rPr>
          <w:b/>
          <w:bCs/>
        </w:rPr>
        <w:t xml:space="preserve">+12%</w:t>
      </w:r>
      <w:r>
        <w:t xml:space="preserve">) and equity-options ADV (</w:t>
      </w:r>
      <w:r>
        <w:rPr>
          <w:b/>
          <w:bCs/>
        </w:rPr>
        <w:t xml:space="preserve">+44%</w:t>
      </w:r>
      <w:r>
        <w:t xml:space="preserve">). (</w:t>
      </w:r>
      <w:hyperlink r:id="rId11">
        <w:r>
          <w:rPr>
            <w:rStyle w:val="Hyperlink"/>
          </w:rPr>
          <w:t xml:space="preserve">ir.theice.com</w:t>
        </w:r>
      </w:hyperlink>
      <w:r>
        <w:t xml:space="preserve">)</w:t>
      </w:r>
    </w:p>
    <w:p>
      <w:pPr>
        <w:pStyle w:val="FirstParagraph"/>
      </w:pPr>
      <w:r>
        <w:t xml:space="preserve">This is important because financial derivatives have meaningful operating leverage and Q1 showed that volume can translate efficiently into Exchange revenue. In 1Q, Financials revenue rose</w:t>
      </w:r>
      <w:r>
        <w:t xml:space="preserve"> </w:t>
      </w:r>
      <w:r>
        <w:rPr>
          <w:b/>
          <w:bCs/>
        </w:rPr>
        <w:t xml:space="preserve">65%</w:t>
      </w:r>
      <w:r>
        <w:t xml:space="preserve"> </w:t>
      </w:r>
      <w:r>
        <w:t xml:space="preserve">year over year, while interest-rate revenue rose</w:t>
      </w:r>
      <w:r>
        <w:t xml:space="preserve"> </w:t>
      </w:r>
      <w:r>
        <w:rPr>
          <w:b/>
          <w:bCs/>
        </w:rPr>
        <w:t xml:space="preserve">80%</w:t>
      </w:r>
      <w:r>
        <w:t xml:space="preserve">. For 2Q, investors should prioritize</w:t>
      </w:r>
      <w:r>
        <w:t xml:space="preserve"> </w:t>
      </w:r>
      <w:r>
        <w:rPr>
          <w:b/>
          <w:bCs/>
        </w:rPr>
        <w:t xml:space="preserve">revenue per contract, mix, and the conversion of high open interest into transaction and clearing revenue</w:t>
      </w:r>
      <w:r>
        <w:t xml:space="preserve">—not just ADV. (</w:t>
      </w:r>
      <w:hyperlink r:id="rId9">
        <w:r>
          <w:rPr>
            <w:rStyle w:val="Hyperlink"/>
          </w:rPr>
          <w:t xml:space="preserve">ir.theice.com</w:t>
        </w:r>
      </w:hyperlink>
      <w:r>
        <w:t xml:space="preserve">)</w:t>
      </w:r>
    </w:p>
    <w:p>
      <w:pPr>
        <w:pStyle w:val="BodyText"/>
      </w:pPr>
      <w:r>
        <w:rPr>
          <w:b/>
          <w:bCs/>
        </w:rPr>
        <w:t xml:space="preserve">Read-through:</w:t>
      </w:r>
      <w:r>
        <w:t xml:space="preserve"> </w:t>
      </w:r>
      <w:r>
        <w:t xml:space="preserve">A strong Financials result would support the argument that ICE’s elevated activity is broader and more durable than a one-quarter energy spike.</w:t>
      </w:r>
    </w:p>
    <w:bookmarkEnd w:id="12"/>
    <w:bookmarkStart w:id="14" w:name="X75fc2a90b07097eb68814b4956b0d4fc92b99c6"/>
    <w:p>
      <w:pPr>
        <w:pStyle w:val="Heading3"/>
      </w:pPr>
      <w:r>
        <w:t xml:space="preserve">2. Energy is the swing factor—and likely the most scrutinized line item</w:t>
      </w:r>
    </w:p>
    <w:p>
      <w:pPr>
        <w:pStyle w:val="FirstParagraph"/>
      </w:pPr>
      <w:r>
        <w:t xml:space="preserve">The Q2 statistics emphasize continued healthy energy positioning, but they do</w:t>
      </w:r>
      <w:r>
        <w:t xml:space="preserve"> </w:t>
      </w:r>
      <w:r>
        <w:rPr>
          <w:b/>
          <w:bCs/>
        </w:rPr>
        <w:t xml:space="preserve">not</w:t>
      </w:r>
      <w:r>
        <w:t xml:space="preserve"> </w:t>
      </w:r>
      <w:r>
        <w:t xml:space="preserve">advertise a broad Energy ADV record comparable with Q1. June Energy OI was still</w:t>
      </w:r>
      <w:r>
        <w:t xml:space="preserve"> </w:t>
      </w:r>
      <w:r>
        <w:rPr>
          <w:b/>
          <w:bCs/>
        </w:rPr>
        <w:t xml:space="preserve">+6%</w:t>
      </w:r>
      <w:r>
        <w:t xml:space="preserve"> </w:t>
      </w:r>
      <w:r>
        <w:t xml:space="preserve">year over year; Natural Gas OI was</w:t>
      </w:r>
      <w:r>
        <w:t xml:space="preserve"> </w:t>
      </w:r>
      <w:r>
        <w:rPr>
          <w:b/>
          <w:bCs/>
        </w:rPr>
        <w:t xml:space="preserve">+8%</w:t>
      </w:r>
      <w:r>
        <w:t xml:space="preserve">, including Asia Gas OI</w:t>
      </w:r>
      <w:r>
        <w:t xml:space="preserve"> </w:t>
      </w:r>
      <w:r>
        <w:rPr>
          <w:b/>
          <w:bCs/>
        </w:rPr>
        <w:t xml:space="preserve">+44%</w:t>
      </w:r>
      <w:r>
        <w:t xml:space="preserve">. In May, Brent ADV was</w:t>
      </w:r>
      <w:r>
        <w:t xml:space="preserve"> </w:t>
      </w:r>
      <w:r>
        <w:rPr>
          <w:b/>
          <w:bCs/>
        </w:rPr>
        <w:t xml:space="preserve">+6%</w:t>
      </w:r>
      <w:r>
        <w:t xml:space="preserve">, Natural Gas ADV</w:t>
      </w:r>
      <w:r>
        <w:t xml:space="preserve"> </w:t>
      </w:r>
      <w:r>
        <w:rPr>
          <w:b/>
          <w:bCs/>
        </w:rPr>
        <w:t xml:space="preserve">+3%</w:t>
      </w:r>
      <w:r>
        <w:t xml:space="preserve">, and TTF Gas ADV</w:t>
      </w:r>
      <w:r>
        <w:t xml:space="preserve"> </w:t>
      </w:r>
      <w:r>
        <w:rPr>
          <w:b/>
          <w:bCs/>
        </w:rPr>
        <w:t xml:space="preserve">+11%</w:t>
      </w:r>
      <w:r>
        <w:t xml:space="preserve">. (</w:t>
      </w:r>
      <w:hyperlink r:id="rId13">
        <w:r>
          <w:rPr>
            <w:rStyle w:val="Hyperlink"/>
          </w:rPr>
          <w:t xml:space="preserve">ir.theice.com</w:t>
        </w:r>
      </w:hyperlink>
      <w:r>
        <w:t xml:space="preserve">)</w:t>
      </w:r>
    </w:p>
    <w:p>
      <w:pPr>
        <w:pStyle w:val="BodyText"/>
      </w:pPr>
      <w:r>
        <w:t xml:space="preserve">That suggests the likely 2Q story:</w:t>
      </w:r>
      <w:r>
        <w:t xml:space="preserve"> </w:t>
      </w:r>
      <w:r>
        <w:rPr>
          <w:b/>
          <w:bCs/>
        </w:rPr>
        <w:t xml:space="preserve">normalization in activity from an exceptional 1Q, but preservation of a larger installed risk-transfer base</w:t>
      </w:r>
      <w:r>
        <w:t xml:space="preserve">. This distinction matters. ICE has consistently framed open interest and participant growth as indicators that customers are retaining exposures rather than simply trading through a short-lived volatility event.</w:t>
      </w:r>
    </w:p>
    <w:p>
      <w:pPr>
        <w:pStyle w:val="BodyText"/>
      </w:pPr>
      <w:r>
        <w:rPr>
          <w:b/>
          <w:bCs/>
        </w:rPr>
        <w:t xml:space="preserve">Questions for management</w:t>
      </w:r>
    </w:p>
    <w:p>
      <w:pPr>
        <w:pStyle w:val="Compact"/>
        <w:numPr>
          <w:ilvl w:val="0"/>
          <w:numId w:val="1002"/>
        </w:numPr>
      </w:pPr>
      <w:r>
        <w:t xml:space="preserve">How did 2Q Energy ADV and revenue compare with the exceptional first-quarter exit rate?</w:t>
      </w:r>
    </w:p>
    <w:p>
      <w:pPr>
        <w:pStyle w:val="Compact"/>
        <w:numPr>
          <w:ilvl w:val="0"/>
          <w:numId w:val="1002"/>
        </w:numPr>
      </w:pPr>
      <w:r>
        <w:t xml:space="preserve">What was the rate-per-contract effect from product mix, options, and clearing?</w:t>
      </w:r>
    </w:p>
    <w:p>
      <w:pPr>
        <w:pStyle w:val="Compact"/>
        <w:numPr>
          <w:ilvl w:val="0"/>
          <w:numId w:val="1002"/>
        </w:numPr>
      </w:pPr>
      <w:r>
        <w:t xml:space="preserve">Did elevated open interest persist into July?</w:t>
      </w:r>
    </w:p>
    <w:p>
      <w:pPr>
        <w:pStyle w:val="Compact"/>
        <w:numPr>
          <w:ilvl w:val="0"/>
          <w:numId w:val="1002"/>
        </w:numPr>
      </w:pPr>
      <w:r>
        <w:t xml:space="preserve">Are the market-structure benefits—longer routes, evolving crude benchmarks, gas and LNG risk management—producing a sustainably higher Energy revenue base?</w:t>
      </w:r>
    </w:p>
    <w:bookmarkEnd w:id="14"/>
    <w:bookmarkStart w:id="15" w:name="X25d770ddf9613db44b9d4dc4c95b59de24f915a"/>
    <w:p>
      <w:pPr>
        <w:pStyle w:val="Heading3"/>
      </w:pPr>
      <w:r>
        <w:t xml:space="preserve">3. Agriculture &amp; Metals is becoming a more material incremental contributor</w:t>
      </w:r>
    </w:p>
    <w:p>
      <w:pPr>
        <w:pStyle w:val="FirstParagraph"/>
      </w:pPr>
      <w:r>
        <w:t xml:space="preserve">Agriculture &amp; Metals posted particularly strong disclosed 2Q activity:</w:t>
      </w:r>
      <w:r>
        <w:t xml:space="preserve"> </w:t>
      </w:r>
      <w:r>
        <w:rPr>
          <w:b/>
          <w:bCs/>
        </w:rPr>
        <w:t xml:space="preserve">ADV increased 36%</w:t>
      </w:r>
      <w:r>
        <w:t xml:space="preserve"> </w:t>
      </w:r>
      <w:r>
        <w:t xml:space="preserve">year over year, with sugar</w:t>
      </w:r>
      <w:r>
        <w:t xml:space="preserve"> </w:t>
      </w:r>
      <w:r>
        <w:rPr>
          <w:b/>
          <w:bCs/>
        </w:rPr>
        <w:t xml:space="preserve">+30%</w:t>
      </w:r>
      <w:r>
        <w:t xml:space="preserve">, cocoa</w:t>
      </w:r>
      <w:r>
        <w:t xml:space="preserve"> </w:t>
      </w:r>
      <w:r>
        <w:rPr>
          <w:b/>
          <w:bCs/>
        </w:rPr>
        <w:t xml:space="preserve">+73%</w:t>
      </w:r>
      <w:r>
        <w:t xml:space="preserve">, coffee</w:t>
      </w:r>
      <w:r>
        <w:t xml:space="preserve"> </w:t>
      </w:r>
      <w:r>
        <w:rPr>
          <w:b/>
          <w:bCs/>
        </w:rPr>
        <w:t xml:space="preserve">+16%</w:t>
      </w:r>
      <w:r>
        <w:t xml:space="preserve">, and cotton</w:t>
      </w:r>
      <w:r>
        <w:t xml:space="preserve"> </w:t>
      </w:r>
      <w:r>
        <w:rPr>
          <w:b/>
          <w:bCs/>
        </w:rPr>
        <w:t xml:space="preserve">+59%</w:t>
      </w:r>
      <w:r>
        <w:t xml:space="preserve">. June data also showed open-interest growth of</w:t>
      </w:r>
      <w:r>
        <w:t xml:space="preserve"> </w:t>
      </w:r>
      <w:r>
        <w:rPr>
          <w:b/>
          <w:bCs/>
        </w:rPr>
        <w:t xml:space="preserve">43%</w:t>
      </w:r>
      <w:r>
        <w:t xml:space="preserve"> </w:t>
      </w:r>
      <w:r>
        <w:t xml:space="preserve">for the category. (</w:t>
      </w:r>
      <w:hyperlink r:id="rId11">
        <w:r>
          <w:rPr>
            <w:rStyle w:val="Hyperlink"/>
          </w:rPr>
          <w:t xml:space="preserve">ir.theice.com</w:t>
        </w:r>
      </w:hyperlink>
      <w:r>
        <w:t xml:space="preserve">)</w:t>
      </w:r>
    </w:p>
    <w:p>
      <w:pPr>
        <w:pStyle w:val="BodyText"/>
      </w:pPr>
      <w:r>
        <w:t xml:space="preserve">This is not large enough to replace Energy as the primary exchange swing factor, but it helps diversify the transaction-revenue engine. It also reinforces the broader thesis that ICE is benefiting from increased demand for commodity risk management across several contracts rather than one isolated macro event.</w:t>
      </w:r>
    </w:p>
    <w:bookmarkEnd w:id="15"/>
    <w:bookmarkStart w:id="16" w:name="X6b387b859a8ec3772012b83f229f8eaa943f7d9"/>
    <w:p>
      <w:pPr>
        <w:pStyle w:val="Heading3"/>
      </w:pPr>
      <w:r>
        <w:t xml:space="preserve">4. FIDS: the quality-of-growth checkpoint</w:t>
      </w:r>
    </w:p>
    <w:p>
      <w:pPr>
        <w:pStyle w:val="FirstParagraph"/>
      </w:pPr>
      <w:r>
        <w:t xml:space="preserve">FIDS was already performing well in 1Q: segment revenue grew</w:t>
      </w:r>
      <w:r>
        <w:t xml:space="preserve"> </w:t>
      </w:r>
      <w:r>
        <w:rPr>
          <w:b/>
          <w:bCs/>
        </w:rPr>
        <w:t xml:space="preserve">10%</w:t>
      </w:r>
      <w:r>
        <w:t xml:space="preserve"> </w:t>
      </w:r>
      <w:r>
        <w:t xml:space="preserve">year over year to</w:t>
      </w:r>
      <w:r>
        <w:t xml:space="preserve"> </w:t>
      </w:r>
      <w:r>
        <w:rPr>
          <w:b/>
          <w:bCs/>
        </w:rPr>
        <w:t xml:space="preserve">$657 million</w:t>
      </w:r>
      <w:r>
        <w:t xml:space="preserve">, with recurring revenue up</w:t>
      </w:r>
      <w:r>
        <w:t xml:space="preserve"> </w:t>
      </w:r>
      <w:r>
        <w:rPr>
          <w:b/>
          <w:bCs/>
        </w:rPr>
        <w:t xml:space="preserve">9%</w:t>
      </w:r>
      <w:r>
        <w:t xml:space="preserve">. Fixed Income Data &amp; Analytics grew 8%, Data &amp; Network Technology grew 12%, and CDS clearing grew 19%. (</w:t>
      </w:r>
      <w:hyperlink r:id="rId9">
        <w:r>
          <w:rPr>
            <w:rStyle w:val="Hyperlink"/>
          </w:rPr>
          <w:t xml:space="preserve">ir.theice.com</w:t>
        </w:r>
      </w:hyperlink>
      <w:r>
        <w:t xml:space="preserve">)</w:t>
      </w:r>
    </w:p>
    <w:p>
      <w:pPr>
        <w:pStyle w:val="BodyText"/>
      </w:pPr>
      <w:r>
        <w:t xml:space="preserve">For 2Q, investors should look for continued momentum in:</w:t>
      </w:r>
    </w:p>
    <w:p>
      <w:pPr>
        <w:pStyle w:val="Compact"/>
        <w:numPr>
          <w:ilvl w:val="0"/>
          <w:numId w:val="1003"/>
        </w:numPr>
      </w:pPr>
      <w:r>
        <w:rPr>
          <w:b/>
          <w:bCs/>
        </w:rPr>
        <w:t xml:space="preserve">Annual subscription value and net new sales</w:t>
      </w:r>
    </w:p>
    <w:p>
      <w:pPr>
        <w:pStyle w:val="Compact"/>
        <w:numPr>
          <w:ilvl w:val="0"/>
          <w:numId w:val="1003"/>
        </w:numPr>
      </w:pPr>
      <w:r>
        <w:t xml:space="preserve">Data-center / ICE Global Network capacity monetization</w:t>
      </w:r>
    </w:p>
    <w:p>
      <w:pPr>
        <w:pStyle w:val="Compact"/>
        <w:numPr>
          <w:ilvl w:val="0"/>
          <w:numId w:val="1003"/>
        </w:numPr>
      </w:pPr>
      <w:r>
        <w:t xml:space="preserve">Pricing and reference-data demand</w:t>
      </w:r>
    </w:p>
    <w:p>
      <w:pPr>
        <w:pStyle w:val="Compact"/>
        <w:numPr>
          <w:ilvl w:val="0"/>
          <w:numId w:val="1003"/>
        </w:numPr>
      </w:pPr>
      <w:r>
        <w:t xml:space="preserve">Index AUM-related revenue</w:t>
      </w:r>
    </w:p>
    <w:p>
      <w:pPr>
        <w:pStyle w:val="Compact"/>
        <w:numPr>
          <w:ilvl w:val="0"/>
          <w:numId w:val="1003"/>
        </w:numPr>
      </w:pPr>
      <w:r>
        <w:t xml:space="preserve">CDS-clearing volumes and regulatory-clearing opportunities</w:t>
      </w:r>
    </w:p>
    <w:p>
      <w:pPr>
        <w:pStyle w:val="Compact"/>
        <w:numPr>
          <w:ilvl w:val="0"/>
          <w:numId w:val="1003"/>
        </w:numPr>
      </w:pPr>
      <w:r>
        <w:t xml:space="preserve">Early commercial traction from</w:t>
      </w:r>
      <w:r>
        <w:t xml:space="preserve"> </w:t>
      </w:r>
      <w:r>
        <w:rPr>
          <w:b/>
          <w:bCs/>
        </w:rPr>
        <w:t xml:space="preserve">Private Credit Intelligence</w:t>
      </w:r>
      <w:r>
        <w:t xml:space="preserve">, the Polymarket data relationship, and AI-oriented data delivery initiatives</w:t>
      </w:r>
    </w:p>
    <w:p>
      <w:pPr>
        <w:pStyle w:val="FirstParagraph"/>
      </w:pPr>
      <w:r>
        <w:t xml:space="preserve">The nuance is that management previously flagged tougher second-half comparisons in Data &amp; Network Technology as data-center capacity sold in the prior year is annualized. A solid 2Q FIDS print therefore matters not only for near-term earnings but for confidence in the medium-term recurring-growth algorithm.</w:t>
      </w:r>
    </w:p>
    <w:bookmarkEnd w:id="16"/>
    <w:bookmarkStart w:id="17" w:name="X54692d669a642f7be3c748bc2f22898c81529cf"/>
    <w:p>
      <w:pPr>
        <w:pStyle w:val="Heading3"/>
      </w:pPr>
      <w:r>
        <w:t xml:space="preserve">5. Mortgage Technology: look for confirmation that recovery is becoming self-sustaining</w:t>
      </w:r>
    </w:p>
    <w:p>
      <w:pPr>
        <w:pStyle w:val="FirstParagraph"/>
      </w:pPr>
      <w:r>
        <w:t xml:space="preserve">Mortgage Technology was the weakest-margin segment but showed improving operating momentum in 1Q: revenue grew</w:t>
      </w:r>
      <w:r>
        <w:t xml:space="preserve"> </w:t>
      </w:r>
      <w:r>
        <w:rPr>
          <w:b/>
          <w:bCs/>
        </w:rPr>
        <w:t xml:space="preserve">6%</w:t>
      </w:r>
      <w:r>
        <w:t xml:space="preserve"> </w:t>
      </w:r>
      <w:r>
        <w:t xml:space="preserve">year over year to</w:t>
      </w:r>
      <w:r>
        <w:t xml:space="preserve"> </w:t>
      </w:r>
      <w:r>
        <w:rPr>
          <w:b/>
          <w:bCs/>
        </w:rPr>
        <w:t xml:space="preserve">$539 million</w:t>
      </w:r>
      <w:r>
        <w:t xml:space="preserve">, led by Origination Technology (</w:t>
      </w:r>
      <w:r>
        <w:rPr>
          <w:b/>
          <w:bCs/>
        </w:rPr>
        <w:t xml:space="preserve">+10%</w:t>
      </w:r>
      <w:r>
        <w:t xml:space="preserve">) and Closing Solutions (</w:t>
      </w:r>
      <w:r>
        <w:rPr>
          <w:b/>
          <w:bCs/>
        </w:rPr>
        <w:t xml:space="preserve">+20%</w:t>
      </w:r>
      <w:r>
        <w:t xml:space="preserve">). Transaction revenue rose</w:t>
      </w:r>
      <w:r>
        <w:t xml:space="preserve"> </w:t>
      </w:r>
      <w:r>
        <w:rPr>
          <w:b/>
          <w:bCs/>
        </w:rPr>
        <w:t xml:space="preserve">22%</w:t>
      </w:r>
      <w:r>
        <w:t xml:space="preserve">, while recurring revenue rose only 1%. (</w:t>
      </w:r>
      <w:hyperlink r:id="rId9">
        <w:r>
          <w:rPr>
            <w:rStyle w:val="Hyperlink"/>
          </w:rPr>
          <w:t xml:space="preserve">ir.theice.com</w:t>
        </w:r>
      </w:hyperlink>
      <w:r>
        <w:t xml:space="preserve">)</w:t>
      </w:r>
    </w:p>
    <w:p>
      <w:pPr>
        <w:pStyle w:val="BodyText"/>
      </w:pPr>
      <w:r>
        <w:t xml:space="preserve">The key issue in 2Q is whether the segment can sustain growth beyond favorable refinancing and closed-loan activity. The most useful indicators will be:</w:t>
      </w:r>
    </w:p>
    <w:p>
      <w:pPr>
        <w:pStyle w:val="Compact"/>
        <w:numPr>
          <w:ilvl w:val="0"/>
          <w:numId w:val="1004"/>
        </w:numPr>
      </w:pPr>
      <w:r>
        <w:t xml:space="preserve">Encompass closed-loan volumes and fees above contractual minimums</w:t>
      </w:r>
    </w:p>
    <w:p>
      <w:pPr>
        <w:pStyle w:val="Compact"/>
        <w:numPr>
          <w:ilvl w:val="0"/>
          <w:numId w:val="1004"/>
        </w:numPr>
      </w:pPr>
      <w:r>
        <w:t xml:space="preserve">New client implementations, especially cross-sold Encompass/MSP wins</w:t>
      </w:r>
    </w:p>
    <w:p>
      <w:pPr>
        <w:pStyle w:val="Compact"/>
        <w:numPr>
          <w:ilvl w:val="0"/>
          <w:numId w:val="1004"/>
        </w:numPr>
      </w:pPr>
      <w:r>
        <w:t xml:space="preserve">Servicing-software growth and loan-count trends</w:t>
      </w:r>
    </w:p>
    <w:p>
      <w:pPr>
        <w:pStyle w:val="Compact"/>
        <w:numPr>
          <w:ilvl w:val="0"/>
          <w:numId w:val="1004"/>
        </w:numPr>
      </w:pPr>
      <w:r>
        <w:t xml:space="preserve">Recurring-revenue growth after the modest one-time benefits cited in 1Q</w:t>
      </w:r>
    </w:p>
    <w:p>
      <w:pPr>
        <w:pStyle w:val="Compact"/>
        <w:numPr>
          <w:ilvl w:val="0"/>
          <w:numId w:val="1004"/>
        </w:numPr>
      </w:pPr>
      <w:r>
        <w:t xml:space="preserve">Adjusted margin trajectory versus the 1Q level of 39%</w:t>
      </w:r>
    </w:p>
    <w:p>
      <w:pPr>
        <w:pStyle w:val="FirstParagraph"/>
      </w:pPr>
      <w:r>
        <w:t xml:space="preserve">A clean Mortgage print would be strategically meaningful: it would make ICE’s earnings mix less dependent on market volatility and strengthen the case that the Black Knight-era platform investment is gaining operating leverage.</w:t>
      </w:r>
    </w:p>
    <w:bookmarkEnd w:id="17"/>
    <w:bookmarkEnd w:id="18"/>
    <w:bookmarkStart w:id="19" w:name="earnings-framework-and-guidance-markers"/>
    <w:p>
      <w:pPr>
        <w:pStyle w:val="Heading2"/>
      </w:pPr>
      <w:r>
        <w:t xml:space="preserve">Earnings framework and guidance markers</w:t>
      </w:r>
    </w:p>
    <w:p>
      <w:pPr>
        <w:pStyle w:val="FirstParagraph"/>
      </w:pPr>
      <w:r>
        <w:t xml:space="preserve">ICE did</w:t>
      </w:r>
      <w:r>
        <w:t xml:space="preserve"> </w:t>
      </w:r>
      <w:r>
        <w:rPr>
          <w:b/>
          <w:bCs/>
        </w:rPr>
        <w:t xml:space="preserve">not</w:t>
      </w:r>
      <w:r>
        <w:t xml:space="preserve"> </w:t>
      </w:r>
      <w:r>
        <w:t xml:space="preserve">provide quarterly revenue or EPS guidance in its 1Q release. It did guide to:</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2Q26 guidance</w:t>
            </w:r>
          </w:p>
        </w:tc>
        <w:tc>
          <w:tcPr/>
          <w:p>
            <w:pPr>
              <w:pStyle w:val="Compact"/>
              <w:jc w:val="right"/>
            </w:pPr>
            <w:r>
              <w:t xml:space="preserve">Range</w:t>
            </w:r>
          </w:p>
        </w:tc>
      </w:tr>
      <w:tr>
        <w:tc>
          <w:tcPr/>
          <w:p>
            <w:pPr>
              <w:pStyle w:val="Compact"/>
            </w:pPr>
            <w:r>
              <w:t xml:space="preserve">GAAP operating expense</w:t>
            </w:r>
          </w:p>
        </w:tc>
        <w:tc>
          <w:tcPr/>
          <w:p>
            <w:pPr>
              <w:pStyle w:val="Compact"/>
              <w:jc w:val="right"/>
            </w:pPr>
            <m:oMath>
              <m:r>
                <m:t>1.280</m:t>
              </m:r>
              <m:r>
                <m:t>B</m:t>
              </m:r>
              <m:r>
                <m:rPr>
                  <m:sty m:val="p"/>
                </m:rPr>
                <m:t>–</m:t>
              </m:r>
            </m:oMath>
            <w:r>
              <w:rPr>
                <w:b/>
                <w:bCs/>
              </w:rPr>
              <w:t xml:space="preserve">1.290B</w:t>
            </w:r>
          </w:p>
        </w:tc>
      </w:tr>
      <w:tr>
        <w:tc>
          <w:tcPr/>
          <w:p>
            <w:pPr>
              <w:pStyle w:val="Compact"/>
            </w:pPr>
            <w:r>
              <w:t xml:space="preserve">Adjusted operating expense</w:t>
            </w:r>
          </w:p>
        </w:tc>
        <w:tc>
          <w:tcPr/>
          <w:p>
            <w:pPr>
              <w:pStyle w:val="Compact"/>
              <w:jc w:val="right"/>
            </w:pPr>
            <m:oMath>
              <m:r>
                <m:t>1.030</m:t>
              </m:r>
              <m:r>
                <m:t>B</m:t>
              </m:r>
              <m:r>
                <m:rPr>
                  <m:sty m:val="p"/>
                </m:rPr>
                <m:t>–</m:t>
              </m:r>
            </m:oMath>
            <w:r>
              <w:rPr>
                <w:b/>
                <w:bCs/>
              </w:rPr>
              <w:t xml:space="preserve">1.040B</w:t>
            </w:r>
          </w:p>
        </w:tc>
      </w:tr>
      <w:tr>
        <w:tc>
          <w:tcPr/>
          <w:p>
            <w:pPr>
              <w:pStyle w:val="Compact"/>
            </w:pPr>
            <w:r>
              <w:t xml:space="preserve">GAAP non-operating expense</w:t>
            </w:r>
          </w:p>
        </w:tc>
        <w:tc>
          <w:tcPr/>
          <w:p>
            <w:pPr>
              <w:pStyle w:val="Compact"/>
              <w:jc w:val="right"/>
            </w:pPr>
            <m:oMath>
              <m:r>
                <m:t>160</m:t>
              </m:r>
              <m:r>
                <m:t>M</m:t>
              </m:r>
              <m:r>
                <m:rPr>
                  <m:sty m:val="p"/>
                </m:rPr>
                <m:t>–</m:t>
              </m:r>
            </m:oMath>
            <w:r>
              <w:rPr>
                <w:b/>
                <w:bCs/>
              </w:rPr>
              <w:t xml:space="preserve">165M</w:t>
            </w:r>
          </w:p>
        </w:tc>
      </w:tr>
      <w:tr>
        <w:tc>
          <w:tcPr/>
          <w:p>
            <w:pPr>
              <w:pStyle w:val="Compact"/>
            </w:pPr>
            <w:r>
              <w:t xml:space="preserve">Adjusted non-operating expense</w:t>
            </w:r>
          </w:p>
        </w:tc>
        <w:tc>
          <w:tcPr/>
          <w:p>
            <w:pPr>
              <w:pStyle w:val="Compact"/>
              <w:jc w:val="right"/>
            </w:pPr>
            <m:oMath>
              <m:r>
                <m:t>180</m:t>
              </m:r>
              <m:r>
                <m:t>M</m:t>
              </m:r>
              <m:r>
                <m:rPr>
                  <m:sty m:val="p"/>
                </m:rPr>
                <m:t>–</m:t>
              </m:r>
            </m:oMath>
            <w:r>
              <w:rPr>
                <w:b/>
                <w:bCs/>
              </w:rPr>
              <w:t xml:space="preserve">185M</w:t>
            </w:r>
          </w:p>
        </w:tc>
      </w:tr>
      <w:tr>
        <w:tc>
          <w:tcPr/>
          <w:p>
            <w:pPr>
              <w:pStyle w:val="Compact"/>
            </w:pPr>
            <w:r>
              <w:t xml:space="preserve">Diluted weighted-average shares</w:t>
            </w:r>
          </w:p>
        </w:tc>
        <w:tc>
          <w:tcPr/>
          <w:p>
            <w:pPr>
              <w:pStyle w:val="Compact"/>
              <w:jc w:val="right"/>
            </w:pPr>
            <w:r>
              <w:rPr>
                <w:b/>
                <w:bCs/>
              </w:rPr>
              <w:t xml:space="preserve">565M–571M</w:t>
            </w:r>
          </w:p>
        </w:tc>
      </w:tr>
    </w:tbl>
    <w:p>
      <w:pPr>
        <w:pStyle w:val="BodyText"/>
      </w:pPr>
      <w:r>
        <w:t xml:space="preserve">For the full year, ICE maintained adjusted operating-expense guidance of</w:t>
      </w:r>
      <w:r>
        <w:t xml:space="preserve"> </w:t>
      </w:r>
      <m:oMath>
        <m:r>
          <m:t>4.145</m:t>
        </m:r>
        <m:r>
          <m:t>B</m:t>
        </m:r>
        <m:r>
          <m:rPr>
            <m:sty m:val="p"/>
          </m:rPr>
          <m:t>–</m:t>
        </m:r>
      </m:oMath>
      <w:r>
        <w:rPr>
          <w:b/>
          <w:bCs/>
        </w:rPr>
        <w:t xml:space="preserve">4.195B</w:t>
      </w:r>
      <w:r>
        <w:t xml:space="preserve">. (</w:t>
      </w:r>
      <w:hyperlink r:id="rId9">
        <w:r>
          <w:rPr>
            <w:rStyle w:val="Hyperlink"/>
          </w:rPr>
          <w:t xml:space="preserve">ir.theice.com</w:t>
        </w:r>
      </w:hyperlink>
      <w:r>
        <w:t xml:space="preserve">)</w:t>
      </w:r>
    </w:p>
    <w:p>
      <w:pPr>
        <w:pStyle w:val="BodyText"/>
      </w:pPr>
      <w:r>
        <w:t xml:space="preserve">The adjusted expense midpoint is essentially in line with 1Q actual adjusted expense of</w:t>
      </w:r>
      <w:r>
        <w:t xml:space="preserve"> </w:t>
      </w:r>
      <w:r>
        <w:rPr>
          <w:b/>
          <w:bCs/>
        </w:rPr>
        <w:t xml:space="preserve">$1.035 billion</w:t>
      </w:r>
      <w:r>
        <w:t xml:space="preserve">. This creates a favorable setup: if transaction revenue and FIDS growth exceed expectations, a significant portion should flow through to adjusted operating income. Conversely, stronger performance-related compensation, revenue-share, licensing, and technology costs could limit incremental margin expansion.</w:t>
      </w:r>
    </w:p>
    <w:bookmarkEnd w:id="19"/>
    <w:bookmarkStart w:id="20" w:name="Xe61de53a7a620a92fe5f6be8c89d2f596c686e2"/>
    <w:p>
      <w:pPr>
        <w:pStyle w:val="Heading2"/>
      </w:pPr>
      <w:r>
        <w:t xml:space="preserve">GAAP versus adjusted EPS: avoid over-reading the headline</w:t>
      </w:r>
    </w:p>
    <w:p>
      <w:pPr>
        <w:pStyle w:val="FirstParagraph"/>
      </w:pPr>
      <w:r>
        <w:t xml:space="preserve">The 1Q GAAP result included a</w:t>
      </w:r>
      <w:r>
        <w:t xml:space="preserve"> </w:t>
      </w:r>
      <m:oMath>
        <m:r>
          <m:t>389</m:t>
        </m:r>
        <m:r>
          <m:t>m</m:t>
        </m:r>
        <m:r>
          <m:t>i</m:t>
        </m:r>
        <m:r>
          <m:t>l</m:t>
        </m:r>
        <m:r>
          <m:t>l</m:t>
        </m:r>
        <m:r>
          <m:t>i</m:t>
        </m:r>
        <m:r>
          <m:t>o</m:t>
        </m:r>
        <m:r>
          <m:t>n</m:t>
        </m:r>
        <m:r>
          <m:rPr>
            <m:sty m:val="p"/>
          </m:rPr>
          <m:t>*</m:t>
        </m:r>
        <m:r>
          <m:rPr>
            <m:sty m:val="p"/>
          </m:rPr>
          <m:t>*</m:t>
        </m:r>
        <m:r>
          <m:t>f</m:t>
        </m:r>
        <m:r>
          <m:t>a</m:t>
        </m:r>
        <m:r>
          <m:t>i</m:t>
        </m:r>
        <m:r>
          <m:t>r</m:t>
        </m:r>
        <m:r>
          <m:rPr>
            <m:sty m:val="p"/>
          </m:rPr>
          <m:t>−</m:t>
        </m:r>
        <m:r>
          <m:t>v</m:t>
        </m:r>
        <m:r>
          <m:t>a</m:t>
        </m:r>
        <m:r>
          <m:t>l</m:t>
        </m:r>
        <m:r>
          <m:t>u</m:t>
        </m:r>
        <m:r>
          <m:t>e</m:t>
        </m:r>
        <m:r>
          <m:t>g</m:t>
        </m:r>
        <m:r>
          <m:t>a</m:t>
        </m:r>
        <m:r>
          <m:t>i</m:t>
        </m:r>
        <m:r>
          <m:t>n</m:t>
        </m:r>
        <m:r>
          <m:t>a</m:t>
        </m:r>
        <m:r>
          <m:t>s</m:t>
        </m:r>
        <m:r>
          <m:t>s</m:t>
        </m:r>
        <m:r>
          <m:t>o</m:t>
        </m:r>
        <m:r>
          <m:t>c</m:t>
        </m:r>
        <m:r>
          <m:t>i</m:t>
        </m:r>
        <m:r>
          <m:t>a</m:t>
        </m:r>
        <m:r>
          <m:t>t</m:t>
        </m:r>
        <m:r>
          <m:t>e</m:t>
        </m:r>
        <m:r>
          <m:t>d</m:t>
        </m:r>
        <m:r>
          <m:t>w</m:t>
        </m:r>
        <m:r>
          <m:t>i</m:t>
        </m:r>
        <m:r>
          <m:t>t</m:t>
        </m:r>
        <m:r>
          <m:t>h</m:t>
        </m:r>
        <m:r>
          <m:t>I</m:t>
        </m:r>
        <m:r>
          <m:t>C</m:t>
        </m:r>
        <m:r>
          <m:t>E</m:t>
        </m:r>
        <m:r>
          <m:rPr>
            <m:sty m:val="p"/>
          </m:rPr>
          <m:t>’</m:t>
        </m:r>
        <m:r>
          <m:t>s</m:t>
        </m:r>
        <m:r>
          <m:t>P</m:t>
        </m:r>
        <m:r>
          <m:t>o</m:t>
        </m:r>
        <m:r>
          <m:t>l</m:t>
        </m:r>
        <m:r>
          <m:t>y</m:t>
        </m:r>
        <m:r>
          <m:t>m</m:t>
        </m:r>
        <m:r>
          <m:t>a</m:t>
        </m:r>
        <m:r>
          <m:t>r</m:t>
        </m:r>
        <m:r>
          <m:t>k</m:t>
        </m:r>
        <m:r>
          <m:t>e</m:t>
        </m:r>
        <m:r>
          <m:t>t</m:t>
        </m:r>
        <m:r>
          <m:t>i</m:t>
        </m:r>
        <m:r>
          <m:t>n</m:t>
        </m:r>
        <m:r>
          <m:t>v</m:t>
        </m:r>
        <m:r>
          <m:t>e</m:t>
        </m:r>
        <m:r>
          <m:t>s</m:t>
        </m:r>
        <m:r>
          <m:t>t</m:t>
        </m:r>
        <m:r>
          <m:t>m</m:t>
        </m:r>
        <m:r>
          <m:t>e</m:t>
        </m:r>
        <m:r>
          <m:t>n</m:t>
        </m:r>
        <m:r>
          <m:t>t</m:t>
        </m:r>
        <m:r>
          <m:rPr>
            <m:sty m:val="p"/>
          </m:rPr>
          <m:t>,</m:t>
        </m:r>
        <m:r>
          <m:t>w</m:t>
        </m:r>
        <m:r>
          <m:t>h</m:t>
        </m:r>
        <m:r>
          <m:t>i</m:t>
        </m:r>
        <m:r>
          <m:t>c</m:t>
        </m:r>
        <m:r>
          <m:t>h</m:t>
        </m:r>
        <m:r>
          <m:t>I</m:t>
        </m:r>
        <m:r>
          <m:t>C</m:t>
        </m:r>
        <m:r>
          <m:t>E</m:t>
        </m:r>
        <m:r>
          <m:t>e</m:t>
        </m:r>
        <m:r>
          <m:t>x</m:t>
        </m:r>
        <m:r>
          <m:t>c</m:t>
        </m:r>
        <m:r>
          <m:t>l</m:t>
        </m:r>
        <m:r>
          <m:t>u</m:t>
        </m:r>
        <m:r>
          <m:t>d</m:t>
        </m:r>
        <m:r>
          <m:t>e</m:t>
        </m:r>
        <m:r>
          <m:t>d</m:t>
        </m:r>
        <m:r>
          <m:t>f</m:t>
        </m:r>
        <m:r>
          <m:t>r</m:t>
        </m:r>
        <m:r>
          <m:t>o</m:t>
        </m:r>
        <m:r>
          <m:t>m</m:t>
        </m:r>
        <m:r>
          <m:t>a</m:t>
        </m:r>
        <m:r>
          <m:t>d</m:t>
        </m:r>
        <m:r>
          <m:t>j</m:t>
        </m:r>
        <m:r>
          <m:t>u</m:t>
        </m:r>
        <m:r>
          <m:t>s</m:t>
        </m:r>
        <m:r>
          <m:t>t</m:t>
        </m:r>
        <m:r>
          <m:t>e</m:t>
        </m:r>
        <m:r>
          <m:t>d</m:t>
        </m:r>
        <m:r>
          <m:t>e</m:t>
        </m:r>
        <m:r>
          <m:t>a</m:t>
        </m:r>
        <m:r>
          <m:t>r</m:t>
        </m:r>
        <m:r>
          <m:t>n</m:t>
        </m:r>
        <m:r>
          <m:t>i</m:t>
        </m:r>
        <m:r>
          <m:t>n</m:t>
        </m:r>
        <m:r>
          <m:t>g</m:t>
        </m:r>
        <m:r>
          <m:t>s</m:t>
        </m:r>
        <m:r>
          <m:rPr>
            <m:sty m:val="p"/>
          </m:rPr>
          <m:t>.</m:t>
        </m:r>
        <m:r>
          <m:t>T</m:t>
        </m:r>
        <m:r>
          <m:t>h</m:t>
        </m:r>
        <m:r>
          <m:t>a</m:t>
        </m:r>
        <m:r>
          <m:t>t</m:t>
        </m:r>
        <m:r>
          <m:t>m</m:t>
        </m:r>
        <m:r>
          <m:t>a</m:t>
        </m:r>
        <m:r>
          <m:t>d</m:t>
        </m:r>
        <m:r>
          <m:t>e</m:t>
        </m:r>
        <m:r>
          <m:t>G</m:t>
        </m:r>
        <m:r>
          <m:t>A</m:t>
        </m:r>
        <m:r>
          <m:t>A</m:t>
        </m:r>
        <m:r>
          <m:t>P</m:t>
        </m:r>
        <m:r>
          <m:t>E</m:t>
        </m:r>
        <m:r>
          <m:t>P</m:t>
        </m:r>
        <m:r>
          <m:t>S</m:t>
        </m:r>
        <m:r>
          <m:t>o</m:t>
        </m:r>
        <m:r>
          <m:t>f</m:t>
        </m:r>
        <m:r>
          <m:rPr>
            <m:sty m:val="p"/>
          </m:rPr>
          <m:t>*</m:t>
        </m:r>
        <m:r>
          <m:rPr>
            <m:sty m:val="p"/>
          </m:rPr>
          <m:t>*</m:t>
        </m:r>
      </m:oMath>
      <w:r>
        <w:rPr>
          <w:b/>
          <w:bCs/>
        </w:rPr>
        <w:t xml:space="preserve">2.48</w:t>
      </w:r>
      <w:r>
        <w:t xml:space="preserve"> </w:t>
      </w:r>
      <w:r>
        <w:t xml:space="preserve">less representative of the underlying operating run rate than adjusted EPS of</w:t>
      </w:r>
      <w:r>
        <w:t xml:space="preserve"> </w:t>
      </w:r>
      <w:r>
        <w:rPr>
          <w:b/>
          <w:bCs/>
        </w:rPr>
        <w:t xml:space="preserve">$2.35</w:t>
      </w:r>
      <w:r>
        <w:t xml:space="preserve">. (</w:t>
      </w:r>
      <w:hyperlink r:id="rId9">
        <w:r>
          <w:rPr>
            <w:rStyle w:val="Hyperlink"/>
          </w:rPr>
          <w:t xml:space="preserve">ir.theice.com</w:t>
        </w:r>
      </w:hyperlink>
      <w:r>
        <w:t xml:space="preserve">)</w:t>
      </w:r>
    </w:p>
    <w:p>
      <w:pPr>
        <w:pStyle w:val="BodyText"/>
      </w:pPr>
      <w:r>
        <w:t xml:space="preserve">For 2Q, investors should separate:</w:t>
      </w:r>
    </w:p>
    <w:p>
      <w:pPr>
        <w:pStyle w:val="Compact"/>
        <w:numPr>
          <w:ilvl w:val="0"/>
          <w:numId w:val="1005"/>
        </w:numPr>
      </w:pPr>
      <w:r>
        <w:rPr>
          <w:b/>
          <w:bCs/>
        </w:rPr>
        <w:t xml:space="preserve">Core adjusted EPS and operating income</w:t>
      </w:r>
    </w:p>
    <w:p>
      <w:pPr>
        <w:pStyle w:val="Compact"/>
        <w:numPr>
          <w:ilvl w:val="0"/>
          <w:numId w:val="1005"/>
        </w:numPr>
      </w:pPr>
      <w:r>
        <w:rPr>
          <w:b/>
          <w:bCs/>
        </w:rPr>
        <w:t xml:space="preserve">Any investment remeasurement, equity-method, tax, or integration-related items</w:t>
      </w:r>
    </w:p>
    <w:p>
      <w:pPr>
        <w:pStyle w:val="Compact"/>
        <w:numPr>
          <w:ilvl w:val="0"/>
          <w:numId w:val="1005"/>
        </w:numPr>
      </w:pPr>
      <w:r>
        <w:rPr>
          <w:b/>
          <w:bCs/>
        </w:rPr>
        <w:t xml:space="preserve">Capital allocation and leverage consequences</w:t>
      </w:r>
      <w:r>
        <w:t xml:space="preserve"> </w:t>
      </w:r>
      <w:r>
        <w:t xml:space="preserve">of ICE’s strategic investments, including Polymarket and OKX</w:t>
      </w:r>
    </w:p>
    <w:p>
      <w:pPr>
        <w:pStyle w:val="FirstParagraph"/>
      </w:pPr>
      <w:r>
        <w:t xml:space="preserve">A fresh valuation adjustment could move GAAP earnings materially without altering the core operating thesis.</w:t>
      </w:r>
    </w:p>
    <w:bookmarkEnd w:id="20"/>
    <w:bookmarkStart w:id="21" w:name="Xabc4eafa2e52a001cb5230cb23f8c326c603420"/>
    <w:p>
      <w:pPr>
        <w:pStyle w:val="Heading2"/>
      </w:pPr>
      <w:r>
        <w:t xml:space="preserve">Capital allocation and balance-sheet watchpoints</w:t>
      </w:r>
    </w:p>
    <w:p>
      <w:pPr>
        <w:pStyle w:val="FirstParagraph"/>
      </w:pPr>
      <w:r>
        <w:t xml:space="preserve">ICE generated</w:t>
      </w:r>
      <w:r>
        <w:t xml:space="preserve"> </w:t>
      </w:r>
      <m:oMath>
        <m:r>
          <m:t>1.2</m:t>
        </m:r>
        <m:r>
          <m:t>b</m:t>
        </m:r>
        <m:r>
          <m:t>i</m:t>
        </m:r>
        <m:r>
          <m:t>l</m:t>
        </m:r>
        <m:r>
          <m:t>l</m:t>
        </m:r>
        <m:r>
          <m:t>i</m:t>
        </m:r>
        <m:r>
          <m:t>o</m:t>
        </m:r>
        <m:r>
          <m:t>n</m:t>
        </m:r>
        <m:r>
          <m:rPr>
            <m:sty m:val="p"/>
          </m:rPr>
          <m:t>*</m:t>
        </m:r>
        <m:r>
          <m:rPr>
            <m:sty m:val="p"/>
          </m:rPr>
          <m:t>*</m:t>
        </m:r>
        <m:r>
          <m:t>o</m:t>
        </m:r>
        <m:r>
          <m:t>f</m:t>
        </m:r>
        <m:r>
          <m:t>a</m:t>
        </m:r>
        <m:r>
          <m:t>d</m:t>
        </m:r>
        <m:r>
          <m:t>j</m:t>
        </m:r>
        <m:r>
          <m:t>u</m:t>
        </m:r>
        <m:r>
          <m:t>s</m:t>
        </m:r>
        <m:r>
          <m:t>t</m:t>
        </m:r>
        <m:r>
          <m:t>e</m:t>
        </m:r>
        <m:r>
          <m:t>d</m:t>
        </m:r>
        <m:r>
          <m:t>f</m:t>
        </m:r>
        <m:r>
          <m:t>r</m:t>
        </m:r>
        <m:r>
          <m:t>e</m:t>
        </m:r>
        <m:r>
          <m:t>e</m:t>
        </m:r>
        <m:r>
          <m:t>c</m:t>
        </m:r>
        <m:r>
          <m:t>a</m:t>
        </m:r>
        <m:r>
          <m:t>s</m:t>
        </m:r>
        <m:r>
          <m:t>h</m:t>
        </m:r>
        <m:r>
          <m:t>f</m:t>
        </m:r>
        <m:r>
          <m:t>l</m:t>
        </m:r>
        <m:r>
          <m:t>o</m:t>
        </m:r>
        <m:r>
          <m:t>w</m:t>
        </m:r>
        <m:r>
          <m:t>i</m:t>
        </m:r>
        <m:r>
          <m:t>n</m:t>
        </m:r>
        <m:r>
          <m:t>1</m:t>
        </m:r>
        <m:r>
          <m:t>Q</m:t>
        </m:r>
        <m:r>
          <m:t>a</m:t>
        </m:r>
        <m:r>
          <m:t>n</m:t>
        </m:r>
        <m:r>
          <m:t>d</m:t>
        </m:r>
        <m:r>
          <m:t>r</m:t>
        </m:r>
        <m:r>
          <m:t>e</m:t>
        </m:r>
        <m:r>
          <m:t>t</m:t>
        </m:r>
        <m:r>
          <m:t>u</m:t>
        </m:r>
        <m:r>
          <m:t>r</m:t>
        </m:r>
        <m:r>
          <m:t>n</m:t>
        </m:r>
        <m:r>
          <m:t>e</m:t>
        </m:r>
        <m:r>
          <m:t>d</m:t>
        </m:r>
        <m:r>
          <m:rPr>
            <m:sty m:val="p"/>
          </m:rPr>
          <m:t>*</m:t>
        </m:r>
        <m:r>
          <m:rPr>
            <m:sty m:val="p"/>
          </m:rPr>
          <m:t>*</m:t>
        </m:r>
      </m:oMath>
      <w:r>
        <w:rPr>
          <w:b/>
          <w:bCs/>
        </w:rPr>
        <w:t xml:space="preserve">848 million</w:t>
      </w:r>
      <w:r>
        <w:t xml:space="preserve"> </w:t>
      </w:r>
      <w:r>
        <w:t xml:space="preserve">to shareholders, including</w:t>
      </w:r>
      <w:r>
        <w:t xml:space="preserve"> </w:t>
      </w:r>
      <w:r>
        <w:rPr>
          <w:b/>
          <w:bCs/>
        </w:rPr>
        <w:t xml:space="preserve">$551 million</w:t>
      </w:r>
      <w:r>
        <w:t xml:space="preserve"> </w:t>
      </w:r>
      <w:r>
        <w:t xml:space="preserve">of repurchases and</w:t>
      </w:r>
      <w:r>
        <w:t xml:space="preserve"> </w:t>
      </w:r>
      <m:oMath>
        <m:r>
          <m:t>297</m:t>
        </m:r>
        <m:r>
          <m:t>m</m:t>
        </m:r>
        <m:r>
          <m:t>i</m:t>
        </m:r>
        <m:r>
          <m:t>l</m:t>
        </m:r>
        <m:r>
          <m:t>l</m:t>
        </m:r>
        <m:r>
          <m:t>i</m:t>
        </m:r>
        <m:r>
          <m:t>o</m:t>
        </m:r>
        <m:r>
          <m:t>n</m:t>
        </m:r>
        <m:r>
          <m:t>o</m:t>
        </m:r>
        <m:r>
          <m:t>f</m:t>
        </m:r>
        <m:r>
          <m:t>d</m:t>
        </m:r>
        <m:r>
          <m:t>i</m:t>
        </m:r>
        <m:r>
          <m:t>v</m:t>
        </m:r>
        <m:r>
          <m:t>i</m:t>
        </m:r>
        <m:r>
          <m:t>d</m:t>
        </m:r>
        <m:r>
          <m:t>e</m:t>
        </m:r>
        <m:r>
          <m:t>n</m:t>
        </m:r>
        <m:r>
          <m:t>d</m:t>
        </m:r>
        <m:r>
          <m:t>s</m:t>
        </m:r>
        <m:r>
          <m:rPr>
            <m:sty m:val="p"/>
          </m:rPr>
          <m:t>.</m:t>
        </m:r>
        <m:r>
          <m:t>A</m:t>
        </m:r>
        <m:r>
          <m:t>t</m:t>
        </m:r>
        <m:r>
          <m:t>M</m:t>
        </m:r>
        <m:r>
          <m:t>a</m:t>
        </m:r>
        <m:r>
          <m:t>r</m:t>
        </m:r>
        <m:r>
          <m:t>c</m:t>
        </m:r>
        <m:r>
          <m:t>h</m:t>
        </m:r>
        <m:r>
          <m:t>31</m:t>
        </m:r>
        <m:r>
          <m:rPr>
            <m:sty m:val="p"/>
          </m:rPr>
          <m:t>,</m:t>
        </m:r>
        <m:r>
          <m:t>d</m:t>
        </m:r>
        <m:r>
          <m:t>e</m:t>
        </m:r>
        <m:r>
          <m:t>b</m:t>
        </m:r>
        <m:r>
          <m:t>t</m:t>
        </m:r>
        <m:r>
          <m:t>s</m:t>
        </m:r>
        <m:r>
          <m:t>t</m:t>
        </m:r>
        <m:r>
          <m:t>o</m:t>
        </m:r>
        <m:r>
          <m:t>o</m:t>
        </m:r>
        <m:r>
          <m:t>d</m:t>
        </m:r>
        <m:r>
          <m:t>a</m:t>
        </m:r>
        <m:r>
          <m:t>t</m:t>
        </m:r>
        <m:r>
          <m:rPr>
            <m:sty m:val="p"/>
          </m:rPr>
          <m:t>*</m:t>
        </m:r>
        <m:r>
          <m:rPr>
            <m:sty m:val="p"/>
          </m:rPr>
          <m:t>*</m:t>
        </m:r>
      </m:oMath>
      <w:r>
        <w:t xml:space="preserve">20.4 billion**, while $2.5 billion remained under the repurchase authorization. (</w:t>
      </w:r>
      <w:hyperlink r:id="rId9">
        <w:r>
          <w:rPr>
            <w:rStyle w:val="Hyperlink"/>
          </w:rPr>
          <w:t xml:space="preserve">ir.theice.com</w:t>
        </w:r>
      </w:hyperlink>
      <w:r>
        <w:t xml:space="preserve">)</w:t>
      </w:r>
    </w:p>
    <w:p>
      <w:pPr>
        <w:pStyle w:val="BodyText"/>
      </w:pPr>
      <w:r>
        <w:t xml:space="preserve">The earnings call should clarify whether the 1Q buyback pace continues, particularly after the company’s sizable strategic investments. The key investor question is whether management maintains its historical balance: reinvest in high-return data, infrastructure, and market-structure opportunities while continuing to compound per-share cash flow through repurchases.</w:t>
      </w:r>
    </w:p>
    <w:bookmarkEnd w:id="21"/>
    <w:bookmarkStart w:id="24" w:name="X9788be7f2c1b92ba48135d5f8ebf121521073f3"/>
    <w:p>
      <w:pPr>
        <w:pStyle w:val="Heading2"/>
      </w:pPr>
      <w:r>
        <w:t xml:space="preserve">What would constitute a bullish versus bearish print?</w:t>
      </w:r>
    </w:p>
    <w:bookmarkStart w:id="22" w:name="bullish"/>
    <w:p>
      <w:pPr>
        <w:pStyle w:val="Heading3"/>
      </w:pPr>
      <w:r>
        <w:t xml:space="preserve">Bullish</w:t>
      </w:r>
    </w:p>
    <w:p>
      <w:pPr>
        <w:pStyle w:val="Compact"/>
        <w:numPr>
          <w:ilvl w:val="0"/>
          <w:numId w:val="1006"/>
        </w:numPr>
      </w:pPr>
      <w:r>
        <w:t xml:space="preserve">Financials and rates revenue converts the disclosed</w:t>
      </w:r>
      <w:r>
        <w:t xml:space="preserve"> </w:t>
      </w:r>
      <w:r>
        <w:rPr>
          <w:b/>
          <w:bCs/>
        </w:rPr>
        <w:t xml:space="preserve">+22% / +24%</w:t>
      </w:r>
      <w:r>
        <w:t xml:space="preserve"> </w:t>
      </w:r>
      <w:r>
        <w:t xml:space="preserve">2Q ADV growth into strong Exchange revenue.</w:t>
      </w:r>
    </w:p>
    <w:p>
      <w:pPr>
        <w:pStyle w:val="Compact"/>
        <w:numPr>
          <w:ilvl w:val="0"/>
          <w:numId w:val="1006"/>
        </w:numPr>
      </w:pPr>
      <w:r>
        <w:t xml:space="preserve">Energy revenue holds up better than feared despite lower volatility than 1Q.</w:t>
      </w:r>
    </w:p>
    <w:p>
      <w:pPr>
        <w:pStyle w:val="Compact"/>
        <w:numPr>
          <w:ilvl w:val="0"/>
          <w:numId w:val="1006"/>
        </w:numPr>
      </w:pPr>
      <w:r>
        <w:t xml:space="preserve">FIDS sustains high-single-digit or better recurring growth, with healthy ASV and data-network commentary.</w:t>
      </w:r>
    </w:p>
    <w:p>
      <w:pPr>
        <w:pStyle w:val="Compact"/>
        <w:numPr>
          <w:ilvl w:val="0"/>
          <w:numId w:val="1006"/>
        </w:numPr>
      </w:pPr>
      <w:r>
        <w:t xml:space="preserve">Mortgage delivers continued transaction growth and improving recurring revenue.</w:t>
      </w:r>
    </w:p>
    <w:p>
      <w:pPr>
        <w:pStyle w:val="Compact"/>
        <w:numPr>
          <w:ilvl w:val="0"/>
          <w:numId w:val="1006"/>
        </w:numPr>
      </w:pPr>
      <w:r>
        <w:t xml:space="preserve">ICE maintains full-year expense guidance, signaling operating leverage.</w:t>
      </w:r>
    </w:p>
    <w:p>
      <w:pPr>
        <w:pStyle w:val="Compact"/>
        <w:numPr>
          <w:ilvl w:val="0"/>
          <w:numId w:val="1006"/>
        </w:numPr>
      </w:pPr>
      <w:r>
        <w:t xml:space="preserve">Management describes July volumes, open interest, and customer participation as healthy.</w:t>
      </w:r>
    </w:p>
    <w:bookmarkEnd w:id="22"/>
    <w:bookmarkStart w:id="23" w:name="bearish"/>
    <w:p>
      <w:pPr>
        <w:pStyle w:val="Heading3"/>
      </w:pPr>
      <w:r>
        <w:t xml:space="preserve">Bearish</w:t>
      </w:r>
    </w:p>
    <w:p>
      <w:pPr>
        <w:pStyle w:val="Compact"/>
        <w:numPr>
          <w:ilvl w:val="0"/>
          <w:numId w:val="1007"/>
        </w:numPr>
      </w:pPr>
      <w:r>
        <w:t xml:space="preserve">Energy revenue falls sharply versus 1Q and offsets Financials strength.</w:t>
      </w:r>
    </w:p>
    <w:p>
      <w:pPr>
        <w:pStyle w:val="Compact"/>
        <w:numPr>
          <w:ilvl w:val="0"/>
          <w:numId w:val="1007"/>
        </w:numPr>
      </w:pPr>
      <w:r>
        <w:t xml:space="preserve">Rate-per-contract weakens materially from product mix, rebates, or customer incentives.</w:t>
      </w:r>
    </w:p>
    <w:p>
      <w:pPr>
        <w:pStyle w:val="Compact"/>
        <w:numPr>
          <w:ilvl w:val="0"/>
          <w:numId w:val="1007"/>
        </w:numPr>
      </w:pPr>
      <w:r>
        <w:t xml:space="preserve">FIDS decelerates meaningfully, especially in Data &amp; Network Technology.</w:t>
      </w:r>
    </w:p>
    <w:p>
      <w:pPr>
        <w:pStyle w:val="Compact"/>
        <w:numPr>
          <w:ilvl w:val="0"/>
          <w:numId w:val="1007"/>
        </w:numPr>
      </w:pPr>
      <w:r>
        <w:t xml:space="preserve">Mortgage’s growth proves mainly refinancing-driven or recurring revenue remains stagnant.</w:t>
      </w:r>
    </w:p>
    <w:p>
      <w:pPr>
        <w:pStyle w:val="Compact"/>
        <w:numPr>
          <w:ilvl w:val="0"/>
          <w:numId w:val="1007"/>
        </w:numPr>
      </w:pPr>
      <w:r>
        <w:t xml:space="preserve">Performance-linked expenses absorb too much of the revenue upside.</w:t>
      </w:r>
    </w:p>
    <w:p>
      <w:pPr>
        <w:pStyle w:val="Compact"/>
        <w:numPr>
          <w:ilvl w:val="0"/>
          <w:numId w:val="1007"/>
        </w:numPr>
      </w:pPr>
      <w:r>
        <w:t xml:space="preserve">Management lowers confidence in the full-year growth algorithm or signals weaker 2H data-center, index, or trading comparisons.</w:t>
      </w:r>
    </w:p>
    <w:bookmarkEnd w:id="23"/>
    <w:bookmarkEnd w:id="24"/>
    <w:bookmarkStart w:id="25" w:name="bottom-line"/>
    <w:p>
      <w:pPr>
        <w:pStyle w:val="Heading2"/>
      </w:pPr>
      <w:r>
        <w:t xml:space="preserve">Bottom line</w:t>
      </w:r>
    </w:p>
    <w:p>
      <w:pPr>
        <w:pStyle w:val="FirstParagraph"/>
      </w:pPr>
      <w:r>
        <w:t xml:space="preserve">ICE appears set up for a</w:t>
      </w:r>
      <w:r>
        <w:t xml:space="preserve"> </w:t>
      </w:r>
      <w:r>
        <w:rPr>
          <w:b/>
          <w:bCs/>
        </w:rPr>
        <w:t xml:space="preserve">solid underlying 2Q</w:t>
      </w:r>
      <w:r>
        <w:t xml:space="preserve">, with disclosed market statistics supporting broad strength in rates, agriculture and metals, and NYSE options, plus a continued high-open-interest backdrop. The earnings event, however, is less about a simple beat/miss than about whether ICE can validate a</w:t>
      </w:r>
      <w:r>
        <w:t xml:space="preserve"> </w:t>
      </w:r>
      <w:r>
        <w:rPr>
          <w:b/>
          <w:bCs/>
        </w:rPr>
        <w:t xml:space="preserve">higher normalized earnings base</w:t>
      </w:r>
      <w:r>
        <w:t xml:space="preserve"> </w:t>
      </w:r>
      <w:r>
        <w:t xml:space="preserve">after an exceptional 1Q.</w:t>
      </w:r>
    </w:p>
    <w:p>
      <w:pPr>
        <w:pStyle w:val="BodyText"/>
      </w:pPr>
      <w:r>
        <w:t xml:space="preserve">The most important proof points are:</w:t>
      </w:r>
      <w:r>
        <w:t xml:space="preserve"> </w:t>
      </w:r>
      <w:r>
        <w:rPr>
          <w:b/>
          <w:bCs/>
        </w:rPr>
        <w:t xml:space="preserve">Energy durability, Financials monetization, FIDS recurring-growth persistence, and Mortgage’s ability to convert improving volumes into sustained platform growth.</w:t>
      </w:r>
      <w:r>
        <w:t xml:space="preserve"> </w:t>
      </w:r>
      <w:r>
        <w:t xml:space="preserve">If management delivers on those four items while holding expense discipline, the report should reinforce ICE’s all-weather growth narrative.</w:t>
      </w:r>
    </w:p>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1" Target="https://ir.theice.com/press/news-details/2026/Intercontinental-Exchange-Reports-June-and-Second-Quarter-2026-Statistics/default.aspx" TargetMode="External" /><Relationship Type="http://schemas.openxmlformats.org/officeDocument/2006/relationships/hyperlink" Id="rId13" Target="https://ir.theice.com/press/news-details/2026/Intercontinental-Exchange-Reports-June-and-Second-Quarter-2026-Statistics/default.aspx?utm_source=openai" TargetMode="External" /><Relationship Type="http://schemas.openxmlformats.org/officeDocument/2006/relationships/hyperlink" Id="rId9" Target="https://ir.theice.com/press/news-details/2026/Intercontinental-Exchange-Reports-Record-First-Quarter-2026/default.aspx?utm_source=openai" TargetMode="External" /></Relationships>
</file>

<file path=word/_rels/footnotes.xml.rels><?xml version="1.0" encoding="UTF-8"?><Relationships xmlns="http://schemas.openxmlformats.org/package/2006/relationships"><Relationship Type="http://schemas.openxmlformats.org/officeDocument/2006/relationships/hyperlink" Id="rId11" Target="https://ir.theice.com/press/news-details/2026/Intercontinental-Exchange-Reports-June-and-Second-Quarter-2026-Statistics/default.aspx" TargetMode="External" /><Relationship Type="http://schemas.openxmlformats.org/officeDocument/2006/relationships/hyperlink" Id="rId13" Target="https://ir.theice.com/press/news-details/2026/Intercontinental-Exchange-Reports-June-and-Second-Quarter-2026-Statistics/default.aspx?utm_source=openai" TargetMode="External" /><Relationship Type="http://schemas.openxmlformats.org/officeDocument/2006/relationships/hyperlink" Id="rId9" Target="https://ir.theice.com/press/news-details/2026/Intercontinental-Exchange-Reports-Record-First-Quarter-2026/default.aspx?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2026-07-29T18:04:41Z</dcterms:created>
  <dcterms:modified xsi:type="dcterms:W3CDTF">2026-07-29T18:04:41Z</dcterms:modified>
</cp:coreProperties>
</file>

<file path=docProps/custom.xml><?xml version="1.0" encoding="utf-8"?>
<Properties xmlns="http://schemas.openxmlformats.org/officeDocument/2006/custom-properties" xmlns:vt="http://schemas.openxmlformats.org/officeDocument/2006/docPropsVTypes"/>
</file>