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Intercontinental Exchange (ICE)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Intercontinental Exchange, Inc.</w:t>
            </w:r>
          </w:p>
        </w:tc>
      </w:tr>
      <w:tr>
        <w:tc>
          <w:tcPr>
            <w:tcW w:type="dxa" w:w="4320"/>
          </w:tcPr>
          <w:p>
            <w:r>
              <w:rPr>
                <w:rFonts w:ascii="Calibri" w:hAnsi="Calibri"/>
                <w:b/>
                <w:sz w:val="22"/>
              </w:rPr>
              <w:t>Ticker</w:t>
            </w:r>
          </w:p>
        </w:tc>
        <w:tc>
          <w:tcPr>
            <w:tcW w:type="dxa" w:w="4320"/>
          </w:tcPr>
          <w:p>
            <w:r>
              <w:rPr>
                <w:rFonts w:ascii="Calibri" w:hAnsi="Calibri"/>
                <w:sz w:val="22"/>
              </w:rPr>
              <w:t>NYSE: ICE</w:t>
            </w:r>
          </w:p>
        </w:tc>
      </w:tr>
      <w:tr>
        <w:tc>
          <w:tcPr>
            <w:tcW w:type="dxa" w:w="4320"/>
          </w:tcPr>
          <w:p>
            <w:r>
              <w:rPr>
                <w:rFonts w:ascii="Calibri" w:hAnsi="Calibri"/>
                <w:b/>
                <w:sz w:val="22"/>
              </w:rPr>
              <w:t>Upcoming Earnings Date</w:t>
            </w:r>
          </w:p>
        </w:tc>
        <w:tc>
          <w:tcPr>
            <w:tcW w:type="dxa" w:w="4320"/>
          </w:tcPr>
          <w:p>
            <w:r>
              <w:rPr>
                <w:rFonts w:ascii="Calibri" w:hAnsi="Calibri"/>
                <w:sz w:val="22"/>
              </w:rPr>
              <w:t>July 30, 2026 — Before Market Open (8:30 AM ET Conference Call)</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 Date</w:t>
            </w:r>
          </w:p>
        </w:tc>
        <w:tc>
          <w:tcPr>
            <w:tcW w:type="dxa" w:w="4320"/>
          </w:tcPr>
          <w:p>
            <w:r>
              <w:rPr>
                <w:rFonts w:ascii="Calibri" w:hAnsi="Calibri"/>
                <w:sz w:val="22"/>
              </w:rPr>
              <w:t>July 29, 2026</w:t>
            </w:r>
          </w:p>
        </w:tc>
      </w:tr>
      <w:tr>
        <w:tc>
          <w:tcPr>
            <w:tcW w:type="dxa" w:w="4320"/>
          </w:tcPr>
          <w:p>
            <w:r>
              <w:rPr>
                <w:rFonts w:ascii="Calibri" w:hAnsi="Calibri"/>
                <w:b/>
                <w:sz w:val="22"/>
              </w:rPr>
              <w:t>Analyst Consensus EPS</w:t>
            </w:r>
          </w:p>
        </w:tc>
        <w:tc>
          <w:tcPr>
            <w:tcW w:type="dxa" w:w="4320"/>
          </w:tcPr>
          <w:p>
            <w:r>
              <w:rPr>
                <w:rFonts w:ascii="Calibri" w:hAnsi="Calibri"/>
                <w:sz w:val="22"/>
              </w:rPr>
              <w:t>$1.83 (Diluted Adj. EPS) | Revenue (net): ~$2.62B</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into ICE’s Q2 2026 print is </w:t>
      </w:r>
      <w:r>
        <w:rPr>
          <w:rFonts w:ascii="Calibri" w:hAnsi="Calibri"/>
          <w:b/>
          <w:color w:val="30A46C"/>
          <w:sz w:val="22"/>
        </w:rPr>
        <w:t>constructive and skewed to beat</w:t>
      </w:r>
      <w:r>
        <w:rPr>
          <w:rFonts w:ascii="Calibri" w:hAnsi="Calibri"/>
          <w:b/>
          <w:color w:val="525866"/>
          <w:sz w:val="22"/>
        </w:rPr>
        <w:t xml:space="preserve"> — volume and open interest data released intra-quarter are unambiguously strong, consensus estimates were revised </w:t>
      </w:r>
      <w:r>
        <w:rPr>
          <w:rFonts w:ascii="Calibri" w:hAnsi="Calibri"/>
          <w:b/>
          <w:color w:val="E5484D"/>
          <w:sz w:val="22"/>
        </w:rPr>
        <w:t>down</w:t>
      </w:r>
      <w:r>
        <w:rPr>
          <w:rFonts w:ascii="Calibri" w:hAnsi="Calibri"/>
          <w:b/>
          <w:color w:val="525866"/>
          <w:sz w:val="22"/>
        </w:rPr>
        <w:t xml:space="preserve"> post-Q1 (energy futures consensus dropped from ~$618M to ~$516M for Q2), and the biggest swing factor is whether the energy revenue step-down from Q1’s geopolitical surge is as severe as the street now models.</w:t>
      </w:r>
    </w:p>
    <w:p>
      <w:r>
        <w:rPr>
          <w:rFonts w:ascii="Calibri" w:hAnsi="Calibri"/>
          <w:color w:val="525866"/>
          <w:sz w:val="22"/>
        </w:rPr>
        <w:t xml:space="preserve">ICE heads into Q2 2026 earnings with the most visible volume data of any exchange company: the company’s own June/Q2 statistics release (July 6) showed </w:t>
      </w:r>
      <w:r>
        <w:rPr>
          <w:rFonts w:ascii="Calibri" w:hAnsi="Calibri"/>
          <w:b/>
          <w:color w:val="525866"/>
          <w:sz w:val="22"/>
        </w:rPr>
        <w:t>total open interest up 20% year-over-year</w:t>
      </w:r>
      <w:r>
        <w:rPr>
          <w:rFonts w:ascii="Calibri" w:hAnsi="Calibri"/>
          <w:color w:val="525866"/>
          <w:sz w:val="22"/>
        </w:rPr>
        <w:t xml:space="preserve">, financials ADV up 22% YoY, interest rates ADV up 24% YoY, and record agriculture &amp; metals ADV up 36% YoY — all pointing to a quarter of broad-based volume strength. The bar, however, is not low: consensus for Q2 net revenues sits at ~$2.62B, implying a meaningful step-down from Q1’s record $2.98B, largely because the street is modeling a sharp normalization in energy futures revenue (consensus ~$516M vs. Q1’s $814M actual) as the Iran-war-driven geopolitical spike fades. Management’s tone on the Q1 call was confident — they guided Q2 adjusted opex flat with Q1 at $1.030–$1.040B and flagged that open interest records were continuing into Q2 — but gave no explicit revenue guidance, leaving the energy revenue trajectory as the key unknown. Estimate revisions since Q1 earnings have been </w:t>
      </w:r>
      <w:r>
        <w:rPr>
          <w:rFonts w:ascii="Calibri" w:hAnsi="Calibri"/>
          <w:b/>
          <w:color w:val="E5484D"/>
          <w:sz w:val="22"/>
        </w:rPr>
        <w:t>negative for Q2 energy and EPS</w:t>
      </w:r>
      <w:r>
        <w:rPr>
          <w:rFonts w:ascii="Calibri" w:hAnsi="Calibri"/>
          <w:color w:val="525866"/>
          <w:sz w:val="22"/>
        </w:rPr>
        <w:t xml:space="preserve"> (Q2 adj. EPS consensus fell from $1.93 to $1.83), while full-year 2026 estimates have held more stable, suggesting the street views the Q2 step-down as transitory rather than structural. The stock has </w:t>
      </w:r>
      <w:r>
        <w:rPr>
          <w:rFonts w:ascii="Calibri" w:hAnsi="Calibri"/>
          <w:b/>
          <w:color w:val="E5484D"/>
          <w:sz w:val="22"/>
        </w:rPr>
        <w:t>underperformed peers significantly since Q1 earnings</w:t>
      </w:r>
      <w:r>
        <w:rPr>
          <w:rFonts w:ascii="Calibri" w:hAnsi="Calibri"/>
          <w:color w:val="525866"/>
          <w:sz w:val="22"/>
        </w:rPr>
        <w:t xml:space="preserve"> — down ~2.4% vs. SPGI roughly flat and CME down ~8% — and trades at a discount to its own history, which management has explicitly acknowledged; this compressed multiple means a volume-driven beat could catalyze a re-rating. The wildcard is </w:t>
      </w:r>
      <w:r>
        <w:rPr>
          <w:rFonts w:ascii="Calibri" w:hAnsi="Calibri"/>
          <w:b/>
          <w:color w:val="525866"/>
          <w:sz w:val="22"/>
        </w:rPr>
        <w:t>mortgage technology recurring revenue</w:t>
      </w:r>
      <w:r>
        <w:rPr>
          <w:rFonts w:ascii="Calibri" w:hAnsi="Calibri"/>
          <w:color w:val="525866"/>
          <w:sz w:val="22"/>
        </w:rPr>
        <w:t>: management guided Q2 recurring revenues to “remain around current levels” (~$401M in Q1 including ~$4M of one-time items), implying a slight sequential dip, and any upside surprise there — driven by Encompass cross-sell momentum or rate-driven refi activity — could be the incremental positive the market needs to re-engage with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bar on revenues but a low bar on energy futures</w:t>
      </w:r>
      <w:r>
        <w:rPr>
          <w:rFonts w:ascii="Calibri" w:hAnsi="Calibri"/>
          <w:color w:val="525866"/>
          <w:sz w:val="22"/>
        </w:rPr>
        <w:t xml:space="preserve"> — the street has already modeled a sharp energy step-down from Q1’s geopolitical spike, and the volume data suggests the actual decline may be less severe. </w:t>
      </w:r>
      <w:r>
        <w:rPr>
          <w:rFonts w:ascii="Calibri" w:hAnsi="Calibri"/>
          <w:b/>
          <w:color w:val="525866"/>
          <w:sz w:val="22"/>
        </w:rPr>
        <w:t>Adjusted EPS ($1.83 consensus) is the primary valuation KPI</w:t>
      </w:r>
      <w:r>
        <w:rPr>
          <w:rFonts w:ascii="Calibri" w:hAnsi="Calibri"/>
          <w:color w:val="525866"/>
          <w:sz w:val="22"/>
        </w:rPr>
        <w:t>; energy futures revenue is the biggest swing factor given its outsized Q1 contribution.</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(less transaction expenses)</w:t>
            </w:r>
          </w:p>
        </w:tc>
        <w:tc>
          <w:tcPr>
            <w:tcW w:type="dxa" w:w="1234"/>
          </w:tcPr>
          <w:p>
            <w:r>
              <w:rPr>
                <w:rFonts w:ascii="Calibri" w:hAnsi="Calibri"/>
                <w:sz w:val="22"/>
              </w:rPr>
              <w:t>$2,977M</w:t>
            </w:r>
          </w:p>
        </w:tc>
        <w:tc>
          <w:tcPr>
            <w:tcW w:type="dxa" w:w="1234"/>
          </w:tcPr>
          <w:p>
            <w:r>
              <w:rPr>
                <w:rFonts w:ascii="Calibri" w:hAnsi="Calibri"/>
                <w:sz w:val="22"/>
              </w:rPr>
              <w:t>$2,543M</w:t>
            </w:r>
          </w:p>
        </w:tc>
        <w:tc>
          <w:tcPr>
            <w:tcW w:type="dxa" w:w="1234"/>
          </w:tcPr>
          <w:p>
            <w:r>
              <w:rPr>
                <w:rFonts w:ascii="Calibri" w:hAnsi="Calibri"/>
                <w:sz w:val="22"/>
              </w:rPr>
              <w:t>$2,621M</w:t>
            </w:r>
          </w:p>
        </w:tc>
        <w:tc>
          <w:tcPr>
            <w:tcW w:type="dxa" w:w="1234"/>
          </w:tcPr>
          <w:p>
            <w:r>
              <w:rPr>
                <w:rFonts w:ascii="Calibri" w:hAnsi="Calibri"/>
                <w:sz w:val="22"/>
              </w:rPr>
              <w:t>+3.1% YoY</w:t>
            </w:r>
          </w:p>
        </w:tc>
        <w:tc>
          <w:tcPr>
            <w:tcW w:type="dxa" w:w="1234"/>
          </w:tcPr>
          <w:p>
            <w:r>
              <w:rPr>
                <w:rFonts w:ascii="Calibri" w:hAnsi="Calibri"/>
                <w:sz w:val="22"/>
              </w:rPr>
              <w:t>No explicit Q2 guidance</w:t>
            </w:r>
          </w:p>
        </w:tc>
        <w:tc>
          <w:tcPr>
            <w:tcW w:type="dxa" w:w="1234"/>
          </w:tcPr>
          <w:p>
            <w:r>
              <w:rPr>
                <w:rFonts w:ascii="Calibri" w:hAnsi="Calibri"/>
                <w:sz w:val="22"/>
              </w:rPr>
              <w:t>N/A</w:t>
            </w:r>
          </w:p>
        </w:tc>
      </w:tr>
      <w:tr>
        <w:tc>
          <w:tcPr>
            <w:tcW w:type="dxa" w:w="1234"/>
          </w:tcPr>
          <w:p>
            <w:r>
              <w:rPr>
                <w:rFonts w:ascii="Calibri" w:hAnsi="Calibri"/>
                <w:sz w:val="22"/>
              </w:rPr>
              <w:t>Diluted Adj. EPS (Operating)</w:t>
            </w:r>
          </w:p>
        </w:tc>
        <w:tc>
          <w:tcPr>
            <w:tcW w:type="dxa" w:w="1234"/>
          </w:tcPr>
          <w:p>
            <w:r>
              <w:rPr>
                <w:rFonts w:ascii="Calibri" w:hAnsi="Calibri"/>
                <w:sz w:val="22"/>
              </w:rPr>
              <w:t>$2.35</w:t>
            </w:r>
          </w:p>
        </w:tc>
        <w:tc>
          <w:tcPr>
            <w:tcW w:type="dxa" w:w="1234"/>
          </w:tcPr>
          <w:p>
            <w:r>
              <w:rPr>
                <w:rFonts w:ascii="Calibri" w:hAnsi="Calibri"/>
                <w:sz w:val="22"/>
              </w:rPr>
              <w:t>$1.81</w:t>
            </w:r>
          </w:p>
        </w:tc>
        <w:tc>
          <w:tcPr>
            <w:tcW w:type="dxa" w:w="1234"/>
          </w:tcPr>
          <w:p>
            <w:r>
              <w:rPr>
                <w:rFonts w:ascii="Calibri" w:hAnsi="Calibri"/>
                <w:sz w:val="22"/>
              </w:rPr>
              <w:t>$1.83</w:t>
            </w:r>
          </w:p>
        </w:tc>
        <w:tc>
          <w:tcPr>
            <w:tcW w:type="dxa" w:w="1234"/>
          </w:tcPr>
          <w:p>
            <w:r>
              <w:rPr>
                <w:rFonts w:ascii="Calibri" w:hAnsi="Calibri"/>
                <w:sz w:val="22"/>
              </w:rPr>
              <w:t>+1.1% YoY</w:t>
            </w:r>
          </w:p>
        </w:tc>
        <w:tc>
          <w:tcPr>
            <w:tcW w:type="dxa" w:w="1234"/>
          </w:tcPr>
          <w:p>
            <w:r>
              <w:rPr>
                <w:rFonts w:ascii="Calibri" w:hAnsi="Calibri"/>
                <w:sz w:val="22"/>
              </w:rPr>
              <w:t>No explicit Q2 guidance</w:t>
            </w:r>
          </w:p>
        </w:tc>
        <w:tc>
          <w:tcPr>
            <w:tcW w:type="dxa" w:w="1234"/>
          </w:tcPr>
          <w:p>
            <w:r>
              <w:rPr>
                <w:rFonts w:ascii="Calibri" w:hAnsi="Calibri"/>
                <w:sz w:val="22"/>
              </w:rPr>
              <w:t>N/A</w:t>
            </w:r>
          </w:p>
        </w:tc>
      </w:tr>
      <w:tr>
        <w:tc>
          <w:tcPr>
            <w:tcW w:type="dxa" w:w="1234"/>
          </w:tcPr>
          <w:p>
            <w:r>
              <w:rPr>
                <w:rFonts w:ascii="Calibri" w:hAnsi="Calibri"/>
                <w:sz w:val="22"/>
              </w:rPr>
              <w:t>Energy Futures Revenue</w:t>
            </w:r>
          </w:p>
        </w:tc>
        <w:tc>
          <w:tcPr>
            <w:tcW w:type="dxa" w:w="1234"/>
          </w:tcPr>
          <w:p>
            <w:r>
              <w:rPr>
                <w:rFonts w:ascii="Calibri" w:hAnsi="Calibri"/>
                <w:sz w:val="22"/>
              </w:rPr>
              <w:t>$814M</w:t>
            </w:r>
          </w:p>
        </w:tc>
        <w:tc>
          <w:tcPr>
            <w:tcW w:type="dxa" w:w="1234"/>
          </w:tcPr>
          <w:p>
            <w:r>
              <w:rPr>
                <w:rFonts w:ascii="Calibri" w:hAnsi="Calibri"/>
                <w:sz w:val="22"/>
              </w:rPr>
              <w:t>$595M</w:t>
            </w:r>
          </w:p>
        </w:tc>
        <w:tc>
          <w:tcPr>
            <w:tcW w:type="dxa" w:w="1234"/>
          </w:tcPr>
          <w:p>
            <w:r>
              <w:rPr>
                <w:rFonts w:ascii="Calibri" w:hAnsi="Calibri"/>
                <w:sz w:val="22"/>
              </w:rPr>
              <w:t>$516M</w:t>
            </w:r>
          </w:p>
        </w:tc>
        <w:tc>
          <w:tcPr>
            <w:tcW w:type="dxa" w:w="1234"/>
          </w:tcPr>
          <w:p>
            <w:r>
              <w:rPr>
                <w:rFonts w:ascii="Calibri" w:hAnsi="Calibri"/>
                <w:sz w:val="22"/>
              </w:rPr>
              <w:t>-13.3%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Interest Rate Revenue</w:t>
            </w:r>
          </w:p>
        </w:tc>
        <w:tc>
          <w:tcPr>
            <w:tcW w:type="dxa" w:w="1234"/>
          </w:tcPr>
          <w:p>
            <w:r>
              <w:rPr>
                <w:rFonts w:ascii="Calibri" w:hAnsi="Calibri"/>
                <w:sz w:val="22"/>
              </w:rPr>
              <w:t>$200M</w:t>
            </w:r>
          </w:p>
        </w:tc>
        <w:tc>
          <w:tcPr>
            <w:tcW w:type="dxa" w:w="1234"/>
          </w:tcPr>
          <w:p>
            <w:r>
              <w:rPr>
                <w:rFonts w:ascii="Calibri" w:hAnsi="Calibri"/>
                <w:sz w:val="22"/>
              </w:rPr>
              <w:t>$116M</w:t>
            </w:r>
          </w:p>
        </w:tc>
        <w:tc>
          <w:tcPr>
            <w:tcW w:type="dxa" w:w="1234"/>
          </w:tcPr>
          <w:p>
            <w:r>
              <w:rPr>
                <w:rFonts w:ascii="Calibri" w:hAnsi="Calibri"/>
                <w:sz w:val="22"/>
              </w:rPr>
              <w:t>$143M</w:t>
            </w:r>
          </w:p>
        </w:tc>
        <w:tc>
          <w:tcPr>
            <w:tcW w:type="dxa" w:w="1234"/>
          </w:tcPr>
          <w:p>
            <w:r>
              <w:rPr>
                <w:rFonts w:ascii="Calibri" w:hAnsi="Calibri"/>
                <w:sz w:val="22"/>
              </w:rPr>
              <w:t>+23.4%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Total Recurring Revenue</w:t>
            </w:r>
          </w:p>
        </w:tc>
        <w:tc>
          <w:tcPr>
            <w:tcW w:type="dxa" w:w="1234"/>
          </w:tcPr>
          <w:p>
            <w:r>
              <w:rPr>
                <w:rFonts w:ascii="Calibri" w:hAnsi="Calibri"/>
                <w:sz w:val="22"/>
              </w:rPr>
              <w:t>$1,320M</w:t>
            </w:r>
          </w:p>
        </w:tc>
        <w:tc>
          <w:tcPr>
            <w:tcW w:type="dxa" w:w="1234"/>
          </w:tcPr>
          <w:p>
            <w:r>
              <w:rPr>
                <w:rFonts w:ascii="Calibri" w:hAnsi="Calibri"/>
                <w:sz w:val="22"/>
              </w:rPr>
              <w:t>$1,256M</w:t>
            </w:r>
          </w:p>
        </w:tc>
        <w:tc>
          <w:tcPr>
            <w:tcW w:type="dxa" w:w="1234"/>
          </w:tcPr>
          <w:p>
            <w:r>
              <w:rPr>
                <w:rFonts w:ascii="Calibri" w:hAnsi="Calibri"/>
                <w:sz w:val="22"/>
              </w:rPr>
              <w:t>$1,331M</w:t>
            </w:r>
          </w:p>
        </w:tc>
        <w:tc>
          <w:tcPr>
            <w:tcW w:type="dxa" w:w="1234"/>
          </w:tcPr>
          <w:p>
            <w:r>
              <w:rPr>
                <w:rFonts w:ascii="Calibri" w:hAnsi="Calibri"/>
                <w:sz w:val="22"/>
              </w:rPr>
              <w:t>+6.0%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Recurring Revenue — Exchanges</w:t>
            </w:r>
          </w:p>
        </w:tc>
        <w:tc>
          <w:tcPr>
            <w:tcW w:type="dxa" w:w="1234"/>
          </w:tcPr>
          <w:p>
            <w:r>
              <w:rPr>
                <w:rFonts w:ascii="Calibri" w:hAnsi="Calibri"/>
                <w:sz w:val="22"/>
              </w:rPr>
              <w:t>$405M</w:t>
            </w:r>
          </w:p>
        </w:tc>
        <w:tc>
          <w:tcPr>
            <w:tcW w:type="dxa" w:w="1234"/>
          </w:tcPr>
          <w:p>
            <w:r>
              <w:rPr>
                <w:rFonts w:ascii="Calibri" w:hAnsi="Calibri"/>
                <w:sz w:val="22"/>
              </w:rPr>
              <w:t>$378M</w:t>
            </w:r>
          </w:p>
        </w:tc>
        <w:tc>
          <w:tcPr>
            <w:tcW w:type="dxa" w:w="1234"/>
          </w:tcPr>
          <w:p>
            <w:r>
              <w:rPr>
                <w:rFonts w:ascii="Calibri" w:hAnsi="Calibri"/>
                <w:sz w:val="22"/>
              </w:rPr>
              <w:t>$408M</w:t>
            </w:r>
          </w:p>
        </w:tc>
        <w:tc>
          <w:tcPr>
            <w:tcW w:type="dxa" w:w="1234"/>
          </w:tcPr>
          <w:p>
            <w:r>
              <w:rPr>
                <w:rFonts w:ascii="Calibri" w:hAnsi="Calibri"/>
                <w:sz w:val="22"/>
              </w:rPr>
              <w:t>+7.9%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Recurring Revenue — FIDS</w:t>
            </w:r>
          </w:p>
        </w:tc>
        <w:tc>
          <w:tcPr>
            <w:tcW w:type="dxa" w:w="1234"/>
          </w:tcPr>
          <w:p>
            <w:r>
              <w:rPr>
                <w:rFonts w:ascii="Calibri" w:hAnsi="Calibri"/>
                <w:sz w:val="22"/>
              </w:rPr>
              <w:t>$514M</w:t>
            </w:r>
          </w:p>
        </w:tc>
        <w:tc>
          <w:tcPr>
            <w:tcW w:type="dxa" w:w="1234"/>
          </w:tcPr>
          <w:p>
            <w:r>
              <w:rPr>
                <w:rFonts w:ascii="Calibri" w:hAnsi="Calibri"/>
                <w:sz w:val="22"/>
              </w:rPr>
              <w:t>$483M</w:t>
            </w:r>
          </w:p>
        </w:tc>
        <w:tc>
          <w:tcPr>
            <w:tcW w:type="dxa" w:w="1234"/>
          </w:tcPr>
          <w:p>
            <w:r>
              <w:rPr>
                <w:rFonts w:ascii="Calibri" w:hAnsi="Calibri"/>
                <w:sz w:val="22"/>
              </w:rPr>
              <w:t>$521M</w:t>
            </w:r>
          </w:p>
        </w:tc>
        <w:tc>
          <w:tcPr>
            <w:tcW w:type="dxa" w:w="1234"/>
          </w:tcPr>
          <w:p>
            <w:r>
              <w:rPr>
                <w:rFonts w:ascii="Calibri" w:hAnsi="Calibri"/>
                <w:sz w:val="22"/>
              </w:rPr>
              <w:t>+7.9% YoY</w:t>
            </w:r>
          </w:p>
        </w:tc>
        <w:tc>
          <w:tcPr>
            <w:tcW w:type="dxa" w:w="1234"/>
          </w:tcPr>
          <w:p>
            <w:r>
              <w:rPr>
                <w:rFonts w:ascii="Calibri" w:hAnsi="Calibri"/>
                <w:sz w:val="22"/>
              </w:rPr>
              <w:t>High end of mid-single-digit range for FY</w:t>
            </w:r>
          </w:p>
        </w:tc>
        <w:tc>
          <w:tcPr>
            <w:tcW w:type="dxa" w:w="1234"/>
          </w:tcPr>
          <w:p>
            <w:r>
              <w:rPr>
                <w:rFonts w:ascii="Calibri" w:hAnsi="Calibri"/>
                <w:sz w:val="22"/>
              </w:rPr>
              <w:t>Tracking above guidance</w:t>
            </w:r>
          </w:p>
        </w:tc>
      </w:tr>
      <w:tr>
        <w:tc>
          <w:tcPr>
            <w:tcW w:type="dxa" w:w="1234"/>
          </w:tcPr>
          <w:p>
            <w:r>
              <w:rPr>
                <w:rFonts w:ascii="Calibri" w:hAnsi="Calibri"/>
                <w:sz w:val="22"/>
              </w:rPr>
              <w:t>Recurring Revenue — Mortgage Technology</w:t>
            </w:r>
          </w:p>
        </w:tc>
        <w:tc>
          <w:tcPr>
            <w:tcW w:type="dxa" w:w="1234"/>
          </w:tcPr>
          <w:p>
            <w:r>
              <w:rPr>
                <w:rFonts w:ascii="Calibri" w:hAnsi="Calibri"/>
                <w:sz w:val="22"/>
              </w:rPr>
              <w:t>$401M</w:t>
            </w:r>
          </w:p>
        </w:tc>
        <w:tc>
          <w:tcPr>
            <w:tcW w:type="dxa" w:w="1234"/>
          </w:tcPr>
          <w:p>
            <w:r>
              <w:rPr>
                <w:rFonts w:ascii="Calibri" w:hAnsi="Calibri"/>
                <w:sz w:val="22"/>
              </w:rPr>
              <w:t>$395M</w:t>
            </w:r>
          </w:p>
        </w:tc>
        <w:tc>
          <w:tcPr>
            <w:tcW w:type="dxa" w:w="1234"/>
          </w:tcPr>
          <w:p>
            <w:r>
              <w:rPr>
                <w:rFonts w:ascii="Calibri" w:hAnsi="Calibri"/>
                <w:sz w:val="22"/>
              </w:rPr>
              <w:t>$402M</w:t>
            </w:r>
          </w:p>
        </w:tc>
        <w:tc>
          <w:tcPr>
            <w:tcW w:type="dxa" w:w="1234"/>
          </w:tcPr>
          <w:p>
            <w:r>
              <w:rPr>
                <w:rFonts w:ascii="Calibri" w:hAnsi="Calibri"/>
                <w:sz w:val="22"/>
              </w:rPr>
              <w:t>+1.8% YoY</w:t>
            </w:r>
          </w:p>
        </w:tc>
        <w:tc>
          <w:tcPr>
            <w:tcW w:type="dxa" w:w="1234"/>
          </w:tcPr>
          <w:p>
            <w:r>
              <w:rPr>
                <w:rFonts w:ascii="Calibri" w:hAnsi="Calibri"/>
                <w:sz w:val="22"/>
              </w:rPr>
              <w:t>~Current levels (~$401M; Q1 included ~$4M one-time)</w:t>
            </w:r>
          </w:p>
        </w:tc>
        <w:tc>
          <w:tcPr>
            <w:tcW w:type="dxa" w:w="1234"/>
          </w:tcPr>
          <w:p>
            <w:r>
              <w:rPr>
                <w:rFonts w:ascii="Calibri" w:hAnsi="Calibri"/>
                <w:sz w:val="22"/>
              </w:rPr>
              <w:t>~In-line</w:t>
            </w:r>
          </w:p>
        </w:tc>
      </w:tr>
      <w:tr>
        <w:tc>
          <w:tcPr>
            <w:tcW w:type="dxa" w:w="1234"/>
          </w:tcPr>
          <w:p>
            <w:r>
              <w:rPr>
                <w:rFonts w:ascii="Calibri" w:hAnsi="Calibri"/>
                <w:sz w:val="22"/>
              </w:rPr>
              <w:t>Total Mortgage Technology Revenue</w:t>
            </w:r>
          </w:p>
        </w:tc>
        <w:tc>
          <w:tcPr>
            <w:tcW w:type="dxa" w:w="1234"/>
          </w:tcPr>
          <w:p>
            <w:r>
              <w:rPr>
                <w:rFonts w:ascii="Calibri" w:hAnsi="Calibri"/>
                <w:sz w:val="22"/>
              </w:rPr>
              <w:t>$539M</w:t>
            </w:r>
          </w:p>
        </w:tc>
        <w:tc>
          <w:tcPr>
            <w:tcW w:type="dxa" w:w="1234"/>
          </w:tcPr>
          <w:p>
            <w:r>
              <w:rPr>
                <w:rFonts w:ascii="Calibri" w:hAnsi="Calibri"/>
                <w:sz w:val="22"/>
              </w:rPr>
              <w:t>$531M</w:t>
            </w:r>
          </w:p>
        </w:tc>
        <w:tc>
          <w:tcPr>
            <w:tcW w:type="dxa" w:w="1234"/>
          </w:tcPr>
          <w:p>
            <w:r>
              <w:rPr>
                <w:rFonts w:ascii="Calibri" w:hAnsi="Calibri"/>
                <w:sz w:val="22"/>
              </w:rPr>
              <w:t>$547M</w:t>
            </w:r>
          </w:p>
        </w:tc>
        <w:tc>
          <w:tcPr>
            <w:tcW w:type="dxa" w:w="1234"/>
          </w:tcPr>
          <w:p>
            <w:r>
              <w:rPr>
                <w:rFonts w:ascii="Calibri" w:hAnsi="Calibri"/>
                <w:sz w:val="22"/>
              </w:rPr>
              <w:t>+3.0%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Adj. Operating Income (Operating)</w:t>
            </w:r>
          </w:p>
        </w:tc>
        <w:tc>
          <w:tcPr>
            <w:tcW w:type="dxa" w:w="1234"/>
          </w:tcPr>
          <w:p>
            <w:r>
              <w:rPr>
                <w:rFonts w:ascii="Calibri" w:hAnsi="Calibri"/>
                <w:sz w:val="22"/>
              </w:rPr>
              <w:t>$1,942M</w:t>
            </w:r>
          </w:p>
        </w:tc>
        <w:tc>
          <w:tcPr>
            <w:tcW w:type="dxa" w:w="1234"/>
          </w:tcPr>
          <w:p>
            <w:r>
              <w:rPr>
                <w:rFonts w:ascii="Calibri" w:hAnsi="Calibri"/>
                <w:sz w:val="22"/>
              </w:rPr>
              <w:t>$1,560M</w:t>
            </w:r>
          </w:p>
        </w:tc>
        <w:tc>
          <w:tcPr>
            <w:tcW w:type="dxa" w:w="1234"/>
          </w:tcPr>
          <w:p>
            <w:r>
              <w:rPr>
                <w:rFonts w:ascii="Calibri" w:hAnsi="Calibri"/>
                <w:sz w:val="22"/>
              </w:rPr>
              <w:t>$1,589M</w:t>
            </w:r>
          </w:p>
        </w:tc>
        <w:tc>
          <w:tcPr>
            <w:tcW w:type="dxa" w:w="1234"/>
          </w:tcPr>
          <w:p>
            <w:r>
              <w:rPr>
                <w:rFonts w:ascii="Calibri" w:hAnsi="Calibri"/>
                <w:sz w:val="22"/>
              </w:rPr>
              <w:t>+1.9% YoY</w:t>
            </w:r>
          </w:p>
        </w:tc>
        <w:tc>
          <w:tcPr>
            <w:tcW w:type="dxa" w:w="1234"/>
          </w:tcPr>
          <w:p>
            <w:r>
              <w:rPr>
                <w:rFonts w:ascii="Calibri" w:hAnsi="Calibri"/>
                <w:sz w:val="22"/>
              </w:rPr>
              <w:t>Adj. opex $1.030–$1.040B (Q2 guidance)</w:t>
            </w:r>
          </w:p>
        </w:tc>
        <w:tc>
          <w:tcPr>
            <w:tcW w:type="dxa" w:w="1234"/>
          </w:tcPr>
          <w:p>
            <w:r>
              <w:rPr>
                <w:rFonts w:ascii="Calibri" w:hAnsi="Calibri"/>
                <w:sz w:val="22"/>
              </w:rPr>
              <w:t>Implied ~in-line</w:t>
            </w:r>
          </w:p>
        </w:tc>
      </w:tr>
      <w:tr>
        <w:tc>
          <w:tcPr>
            <w:tcW w:type="dxa" w:w="1234"/>
          </w:tcPr>
          <w:p>
            <w:r>
              <w:rPr>
                <w:rFonts w:ascii="Calibri" w:hAnsi="Calibri"/>
                <w:sz w:val="22"/>
              </w:rPr>
              <w:t>Free Cash Flow</w:t>
            </w:r>
          </w:p>
        </w:tc>
        <w:tc>
          <w:tcPr>
            <w:tcW w:type="dxa" w:w="1234"/>
          </w:tcPr>
          <w:p>
            <w:r>
              <w:rPr>
                <w:rFonts w:ascii="Calibri" w:hAnsi="Calibri"/>
                <w:sz w:val="22"/>
              </w:rPr>
              <w:t>$1,150M</w:t>
            </w:r>
          </w:p>
        </w:tc>
        <w:tc>
          <w:tcPr>
            <w:tcW w:type="dxa" w:w="1234"/>
          </w:tcPr>
          <w:p>
            <w:r>
              <w:rPr>
                <w:rFonts w:ascii="Calibri" w:hAnsi="Calibri"/>
                <w:sz w:val="22"/>
              </w:rPr>
              <w:t>$1,209M</w:t>
            </w:r>
          </w:p>
        </w:tc>
        <w:tc>
          <w:tcPr>
            <w:tcW w:type="dxa" w:w="1234"/>
          </w:tcPr>
          <w:p>
            <w:r>
              <w:rPr>
                <w:rFonts w:ascii="Calibri" w:hAnsi="Calibri"/>
                <w:sz w:val="22"/>
              </w:rPr>
              <w:t>$1,352M</w:t>
            </w:r>
          </w:p>
        </w:tc>
        <w:tc>
          <w:tcPr>
            <w:tcW w:type="dxa" w:w="1234"/>
          </w:tcPr>
          <w:p>
            <w:r>
              <w:rPr>
                <w:rFonts w:ascii="Calibri" w:hAnsi="Calibri"/>
                <w:sz w:val="22"/>
              </w:rPr>
              <w:t>+11.8% YoY</w:t>
            </w:r>
          </w:p>
        </w:tc>
        <w:tc>
          <w:tcPr>
            <w:tcW w:type="dxa" w:w="1234"/>
          </w:tcPr>
          <w:p>
            <w:r>
              <w:rPr>
                <w:rFonts w:ascii="Calibri" w:hAnsi="Calibri"/>
                <w:sz w:val="22"/>
              </w:rPr>
              <w:t>No explicit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All consensus figures as of July 29, 2026. Q2 2026 = 2QFY-2026 (quarter ending June 30, 2026). Q1 2026 actuals from April 30, 2026 earnings release.</w:t>
      </w:r>
    </w:p>
    <w:p>
      <w:pPr>
        <w:pStyle w:val="Heading3"/>
      </w:pPr>
      <w:r>
        <w:rPr>
          <w:rFonts w:ascii="Calibri" w:hAnsi="Calibri"/>
          <w:b/>
          <w:color w:val="3B4259"/>
          <w:sz w:val="24"/>
        </w:rPr>
        <w:t>Table 2 — Beat/Miss History: Top 2 KPIs (Last 8 Quarters)</w:t>
      </w:r>
    </w:p>
    <w:p>
      <w:r>
        <w:rPr>
          <w:rFonts w:ascii="Calibri" w:hAnsi="Calibri"/>
          <w:b/>
          <w:color w:val="525866"/>
          <w:sz w:val="22"/>
        </w:rPr>
        <w:t xml:space="preserve">Top 2 KPIs: </w:t>
      </w:r>
      <w:r>
        <w:rPr>
          <w:rFonts w:ascii="Calibri" w:hAnsi="Calibri"/>
          <w:color w:val="525866"/>
          <w:sz w:val="22"/>
        </w:rPr>
        <w:t>(1) Diluted Adjusted EPS (Operating) | (2) Energy Futures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$2.35</w:t>
            </w:r>
          </w:p>
        </w:tc>
        <w:tc>
          <w:tcPr>
            <w:tcW w:type="dxa" w:w="1440"/>
          </w:tcPr>
          <w:p>
            <w:r>
              <w:rPr>
                <w:rFonts w:ascii="Calibri" w:hAnsi="Calibri"/>
                <w:sz w:val="22"/>
              </w:rPr>
              <w:t>$2.25</w:t>
            </w:r>
          </w:p>
        </w:tc>
        <w:tc>
          <w:tcPr>
            <w:tcW w:type="dxa" w:w="1440"/>
          </w:tcPr>
          <w:p>
            <w:r>
              <w:rPr>
                <w:rFonts w:ascii="Calibri" w:hAnsi="Calibri"/>
                <w:b/>
                <w:color w:val="30A46C"/>
                <w:sz w:val="22"/>
              </w:rPr>
              <w:t>+4.4%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Energy Futures Rev.</w:t>
            </w:r>
          </w:p>
        </w:tc>
        <w:tc>
          <w:tcPr>
            <w:tcW w:type="dxa" w:w="1440"/>
          </w:tcPr>
          <w:p>
            <w:r>
              <w:rPr>
                <w:rFonts w:ascii="Calibri" w:hAnsi="Calibri"/>
                <w:sz w:val="22"/>
              </w:rPr>
              <w:t>$814M</w:t>
            </w:r>
          </w:p>
        </w:tc>
        <w:tc>
          <w:tcPr>
            <w:tcW w:type="dxa" w:w="1440"/>
          </w:tcPr>
          <w:p>
            <w:r>
              <w:rPr>
                <w:rFonts w:ascii="Calibri" w:hAnsi="Calibri"/>
                <w:sz w:val="22"/>
              </w:rPr>
              <w:t>$812M</w:t>
            </w:r>
          </w:p>
        </w:tc>
        <w:tc>
          <w:tcPr>
            <w:tcW w:type="dxa" w:w="1440"/>
          </w:tcPr>
          <w:p>
            <w:r>
              <w:rPr>
                <w:rFonts w:ascii="Calibri" w:hAnsi="Calibri"/>
                <w:b/>
                <w:color w:val="30A46C"/>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$1.71</w:t>
            </w:r>
          </w:p>
        </w:tc>
        <w:tc>
          <w:tcPr>
            <w:tcW w:type="dxa" w:w="1440"/>
          </w:tcPr>
          <w:p>
            <w:r>
              <w:rPr>
                <w:rFonts w:ascii="Calibri" w:hAnsi="Calibri"/>
                <w:sz w:val="22"/>
              </w:rPr>
              <w:t>$1.67</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Energy Futures Rev.</w:t>
            </w:r>
          </w:p>
        </w:tc>
        <w:tc>
          <w:tcPr>
            <w:tcW w:type="dxa" w:w="1440"/>
          </w:tcPr>
          <w:p>
            <w:r>
              <w:rPr>
                <w:rFonts w:ascii="Calibri" w:hAnsi="Calibri"/>
                <w:sz w:val="22"/>
              </w:rPr>
              <w:t>$548M</w:t>
            </w:r>
          </w:p>
        </w:tc>
        <w:tc>
          <w:tcPr>
            <w:tcW w:type="dxa" w:w="1440"/>
          </w:tcPr>
          <w:p>
            <w:r>
              <w:rPr>
                <w:rFonts w:ascii="Calibri" w:hAnsi="Calibri"/>
                <w:sz w:val="22"/>
              </w:rPr>
              <w:t>$547M</w:t>
            </w:r>
          </w:p>
        </w:tc>
        <w:tc>
          <w:tcPr>
            <w:tcW w:type="dxa" w:w="1440"/>
          </w:tcPr>
          <w:p>
            <w:r>
              <w:rPr>
                <w:rFonts w:ascii="Calibri" w:hAnsi="Calibri"/>
                <w:b/>
                <w:color w:val="30A46C"/>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$1.71</w:t>
            </w:r>
          </w:p>
        </w:tc>
        <w:tc>
          <w:tcPr>
            <w:tcW w:type="dxa" w:w="1440"/>
          </w:tcPr>
          <w:p>
            <w:r>
              <w:rPr>
                <w:rFonts w:ascii="Calibri" w:hAnsi="Calibri"/>
                <w:sz w:val="22"/>
              </w:rPr>
              <w:t>$1.61</w:t>
            </w:r>
          </w:p>
        </w:tc>
        <w:tc>
          <w:tcPr>
            <w:tcW w:type="dxa" w:w="1440"/>
          </w:tcPr>
          <w:p>
            <w:r>
              <w:rPr>
                <w:rFonts w:ascii="Calibri" w:hAnsi="Calibri"/>
                <w:b/>
                <w:color w:val="30A46C"/>
                <w:sz w:val="22"/>
              </w:rPr>
              <w:t>+6.2%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Energy Futures Rev.</w:t>
            </w:r>
          </w:p>
        </w:tc>
        <w:tc>
          <w:tcPr>
            <w:tcW w:type="dxa" w:w="1440"/>
          </w:tcPr>
          <w:p>
            <w:r>
              <w:rPr>
                <w:rFonts w:ascii="Calibri" w:hAnsi="Calibri"/>
                <w:sz w:val="22"/>
              </w:rPr>
              <w:t>$482M</w:t>
            </w:r>
          </w:p>
        </w:tc>
        <w:tc>
          <w:tcPr>
            <w:tcW w:type="dxa" w:w="1440"/>
          </w:tcPr>
          <w:p>
            <w:r>
              <w:rPr>
                <w:rFonts w:ascii="Calibri" w:hAnsi="Calibri"/>
                <w:sz w:val="22"/>
              </w:rPr>
              <w:t>$486M</w:t>
            </w:r>
          </w:p>
        </w:tc>
        <w:tc>
          <w:tcPr>
            <w:tcW w:type="dxa" w:w="1440"/>
          </w:tcPr>
          <w:p>
            <w:r>
              <w:rPr>
                <w:rFonts w:ascii="Calibri" w:hAnsi="Calibri"/>
                <w:b/>
                <w:color w:val="E5484D"/>
                <w:sz w:val="22"/>
              </w:rPr>
              <w:t>-0.8%</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$1.81</w:t>
            </w:r>
          </w:p>
        </w:tc>
        <w:tc>
          <w:tcPr>
            <w:tcW w:type="dxa" w:w="1440"/>
          </w:tcPr>
          <w:p>
            <w:r>
              <w:rPr>
                <w:rFonts w:ascii="Calibri" w:hAnsi="Calibri"/>
                <w:sz w:val="22"/>
              </w:rPr>
              <w:t>$1.77</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Energy Futures Rev.</w:t>
            </w:r>
          </w:p>
        </w:tc>
        <w:tc>
          <w:tcPr>
            <w:tcW w:type="dxa" w:w="1440"/>
          </w:tcPr>
          <w:p>
            <w:r>
              <w:rPr>
                <w:rFonts w:ascii="Calibri" w:hAnsi="Calibri"/>
                <w:sz w:val="22"/>
              </w:rPr>
              <w:t>$595M</w:t>
            </w:r>
          </w:p>
        </w:tc>
        <w:tc>
          <w:tcPr>
            <w:tcW w:type="dxa" w:w="1440"/>
          </w:tcPr>
          <w:p>
            <w:r>
              <w:rPr>
                <w:rFonts w:ascii="Calibri" w:hAnsi="Calibri"/>
                <w:sz w:val="22"/>
              </w:rPr>
              <w:t>$595M</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$1.72</w:t>
            </w:r>
          </w:p>
        </w:tc>
        <w:tc>
          <w:tcPr>
            <w:tcW w:type="dxa" w:w="1440"/>
          </w:tcPr>
          <w:p>
            <w:r>
              <w:rPr>
                <w:rFonts w:ascii="Calibri" w:hAnsi="Calibri"/>
                <w:sz w:val="22"/>
              </w:rPr>
              <w:t>$1.70</w:t>
            </w:r>
          </w:p>
        </w:tc>
        <w:tc>
          <w:tcPr>
            <w:tcW w:type="dxa" w:w="1440"/>
          </w:tcPr>
          <w:p>
            <w:r>
              <w:rPr>
                <w:rFonts w:ascii="Calibri" w:hAnsi="Calibri"/>
                <w:b/>
                <w:color w:val="30A46C"/>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Energy Futures Rev.</w:t>
            </w:r>
          </w:p>
        </w:tc>
        <w:tc>
          <w:tcPr>
            <w:tcW w:type="dxa" w:w="1440"/>
          </w:tcPr>
          <w:p>
            <w:r>
              <w:rPr>
                <w:rFonts w:ascii="Calibri" w:hAnsi="Calibri"/>
                <w:sz w:val="22"/>
              </w:rPr>
              <w:t>$557M</w:t>
            </w:r>
          </w:p>
        </w:tc>
        <w:tc>
          <w:tcPr>
            <w:tcW w:type="dxa" w:w="1440"/>
          </w:tcPr>
          <w:p>
            <w:r>
              <w:rPr>
                <w:rFonts w:ascii="Calibri" w:hAnsi="Calibri"/>
                <w:sz w:val="22"/>
              </w:rPr>
              <w:t>$557M</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$1.52</w:t>
            </w:r>
          </w:p>
        </w:tc>
        <w:tc>
          <w:tcPr>
            <w:tcW w:type="dxa" w:w="1440"/>
          </w:tcPr>
          <w:p>
            <w:r>
              <w:rPr>
                <w:rFonts w:ascii="Calibri" w:hAnsi="Calibri"/>
                <w:sz w:val="22"/>
              </w:rPr>
              <w:t>$1.49</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Energy Futures Rev.</w:t>
            </w:r>
          </w:p>
        </w:tc>
        <w:tc>
          <w:tcPr>
            <w:tcW w:type="dxa" w:w="1440"/>
          </w:tcPr>
          <w:p>
            <w:r>
              <w:rPr>
                <w:rFonts w:ascii="Calibri" w:hAnsi="Calibri"/>
                <w:sz w:val="22"/>
              </w:rPr>
              <w:t>$477M</w:t>
            </w:r>
          </w:p>
        </w:tc>
        <w:tc>
          <w:tcPr>
            <w:tcW w:type="dxa" w:w="1440"/>
          </w:tcPr>
          <w:p>
            <w:r>
              <w:rPr>
                <w:rFonts w:ascii="Calibri" w:hAnsi="Calibri"/>
                <w:sz w:val="22"/>
              </w:rPr>
              <w:t>$478M</w:t>
            </w:r>
          </w:p>
        </w:tc>
        <w:tc>
          <w:tcPr>
            <w:tcW w:type="dxa" w:w="1440"/>
          </w:tcPr>
          <w:p>
            <w:r>
              <w:rPr>
                <w:rFonts w:ascii="Calibri" w:hAnsi="Calibri"/>
                <w:sz w:val="22"/>
              </w:rPr>
              <w:t>-0.2%</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$1.55</w:t>
            </w:r>
          </w:p>
        </w:tc>
        <w:tc>
          <w:tcPr>
            <w:tcW w:type="dxa" w:w="1440"/>
          </w:tcPr>
          <w:p>
            <w:r>
              <w:rPr>
                <w:rFonts w:ascii="Calibri" w:hAnsi="Calibri"/>
                <w:sz w:val="22"/>
              </w:rPr>
              <w:t>$1.55</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Energy Futures Rev.</w:t>
            </w:r>
          </w:p>
        </w:tc>
        <w:tc>
          <w:tcPr>
            <w:tcW w:type="dxa" w:w="1440"/>
          </w:tcPr>
          <w:p>
            <w:r>
              <w:rPr>
                <w:rFonts w:ascii="Calibri" w:hAnsi="Calibri"/>
                <w:sz w:val="22"/>
              </w:rPr>
              <w:t>$473M</w:t>
            </w:r>
          </w:p>
        </w:tc>
        <w:tc>
          <w:tcPr>
            <w:tcW w:type="dxa" w:w="1440"/>
          </w:tcPr>
          <w:p>
            <w:r>
              <w:rPr>
                <w:rFonts w:ascii="Calibri" w:hAnsi="Calibri"/>
                <w:sz w:val="22"/>
              </w:rPr>
              <w:t>$473M</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$1.52</w:t>
            </w:r>
          </w:p>
        </w:tc>
        <w:tc>
          <w:tcPr>
            <w:tcW w:type="dxa" w:w="1440"/>
          </w:tcPr>
          <w:p>
            <w:r>
              <w:rPr>
                <w:rFonts w:ascii="Calibri" w:hAnsi="Calibri"/>
                <w:sz w:val="22"/>
              </w:rPr>
              <w:t>$1.49</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Energy Futures Rev.</w:t>
            </w:r>
          </w:p>
        </w:tc>
        <w:tc>
          <w:tcPr>
            <w:tcW w:type="dxa" w:w="1440"/>
          </w:tcPr>
          <w:p>
            <w:r>
              <w:rPr>
                <w:rFonts w:ascii="Calibri" w:hAnsi="Calibri"/>
                <w:sz w:val="22"/>
              </w:rPr>
              <w:t>$469M</w:t>
            </w:r>
          </w:p>
        </w:tc>
        <w:tc>
          <w:tcPr>
            <w:tcW w:type="dxa" w:w="1440"/>
          </w:tcPr>
          <w:p>
            <w:r>
              <w:rPr>
                <w:rFonts w:ascii="Calibri" w:hAnsi="Calibri"/>
                <w:sz w:val="22"/>
              </w:rPr>
              <w:t>$468M</w:t>
            </w:r>
          </w:p>
        </w:tc>
        <w:tc>
          <w:tcPr>
            <w:tcW w:type="dxa" w:w="1440"/>
          </w:tcPr>
          <w:p>
            <w:r>
              <w:rPr>
                <w:rFonts w:ascii="Calibri" w:hAnsi="Calibri"/>
                <w:b/>
                <w:color w:val="30A46C"/>
                <w:sz w:val="22"/>
              </w:rPr>
              <w:t>+0.2%</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ICE has beaten or matched adj. EPS consensus in 7 of the last 8 quarters with a consistent ~2–4% positive surprise; energy futures revenue is tightly tracked by the street in normal quarters but was a massive beat in Q1 2026 due to the Iran-war geopolitical spike — the Q2 consensus already prices in a sharp normalization, setting a lower bar.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posture is </w:t>
      </w:r>
      <w:r>
        <w:rPr>
          <w:rFonts w:ascii="Calibri" w:hAnsi="Calibri"/>
          <w:b/>
          <w:color w:val="525866"/>
          <w:sz w:val="22"/>
        </w:rPr>
        <w:t>unchanged and confident</w:t>
      </w:r>
      <w:r>
        <w:rPr>
          <w:rFonts w:ascii="Calibri" w:hAnsi="Calibri"/>
          <w:color w:val="525866"/>
          <w:sz w:val="22"/>
        </w:rPr>
        <w:t xml:space="preserve"> since the Q1 2026 earnings call — no formal guidance revisions have been issued post-earnings, but the Q2 volume statistics release (July 6) provided a strong implicit read-through with OI up 20% YoY, reinforcing the structural demand narrative. The only explicit Q2 guidance given was on adjusted opex and mortgage technology recurring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Operating Expenses</w:t>
            </w:r>
          </w:p>
        </w:tc>
        <w:tc>
          <w:tcPr>
            <w:tcW w:type="dxa" w:w="1728"/>
          </w:tcPr>
          <w:p>
            <w:r>
              <w:rPr>
                <w:rFonts w:ascii="Calibri" w:hAnsi="Calibri"/>
                <w:sz w:val="22"/>
              </w:rPr>
              <w:t>$1.030B – $1.040B</w:t>
            </w:r>
          </w:p>
        </w:tc>
        <w:tc>
          <w:tcPr>
            <w:tcW w:type="dxa" w:w="1728"/>
          </w:tcPr>
          <w:p>
            <w:r>
              <w:rPr>
                <w:rFonts w:ascii="Calibri" w:hAnsi="Calibri"/>
                <w:sz w:val="22"/>
              </w:rPr>
              <w:t>—</w:t>
            </w:r>
          </w:p>
        </w:tc>
        <w:tc>
          <w:tcPr>
            <w:tcW w:type="dxa" w:w="1728"/>
          </w:tcPr>
          <w:p>
            <w:r>
              <w:rPr>
                <w:rFonts w:ascii="Calibri" w:hAnsi="Calibri"/>
                <w:sz w:val="22"/>
              </w:rPr>
              <w:t>Implied ~$1.035B (midpoint)</w:t>
            </w:r>
          </w:p>
        </w:tc>
        <w:tc>
          <w:tcPr>
            <w:tcW w:type="dxa" w:w="1728"/>
          </w:tcPr>
          <w:p>
            <w:r>
              <w:rPr>
                <w:rFonts w:ascii="Calibri" w:hAnsi="Calibri"/>
                <w:sz w:val="22"/>
              </w:rPr>
              <w:t>Unchanged; consistent with Q1 actual of $1.035B; management signaled flat cost trajectory</w:t>
            </w:r>
          </w:p>
        </w:tc>
      </w:tr>
      <w:tr>
        <w:tc>
          <w:tcPr>
            <w:tcW w:type="dxa" w:w="1728"/>
          </w:tcPr>
          <w:p>
            <w:r>
              <w:rPr>
                <w:rFonts w:ascii="Calibri" w:hAnsi="Calibri"/>
                <w:sz w:val="22"/>
              </w:rPr>
              <w:t>Q2 2026 GAAP Operating Expenses</w:t>
            </w:r>
          </w:p>
        </w:tc>
        <w:tc>
          <w:tcPr>
            <w:tcW w:type="dxa" w:w="1728"/>
          </w:tcPr>
          <w:p>
            <w:r>
              <w:rPr>
                <w:rFonts w:ascii="Calibri" w:hAnsi="Calibri"/>
                <w:sz w:val="22"/>
              </w:rPr>
              <w:t>$1.280B – $1.290B</w:t>
            </w:r>
          </w:p>
        </w:tc>
        <w:tc>
          <w:tcPr>
            <w:tcW w:type="dxa" w:w="1728"/>
          </w:tcPr>
          <w:p>
            <w:r>
              <w:rPr>
                <w:rFonts w:ascii="Calibri" w:hAnsi="Calibri"/>
                <w:sz w:val="22"/>
              </w:rPr>
              <w:t>—</w:t>
            </w:r>
          </w:p>
        </w:tc>
        <w:tc>
          <w:tcPr>
            <w:tcW w:type="dxa" w:w="1728"/>
          </w:tcPr>
          <w:p>
            <w:r>
              <w:rPr>
                <w:rFonts w:ascii="Calibri" w:hAnsi="Calibri"/>
                <w:sz w:val="22"/>
              </w:rPr>
              <w:t>N/A — not tracked by VA</w:t>
            </w:r>
          </w:p>
        </w:tc>
        <w:tc>
          <w:tcPr>
            <w:tcW w:type="dxa" w:w="1728"/>
          </w:tcPr>
          <w:p>
            <w:r>
              <w:rPr>
                <w:rFonts w:ascii="Calibri" w:hAnsi="Calibri"/>
                <w:sz w:val="22"/>
              </w:rPr>
              <w:t>Unchanged; no post-earnings update</w:t>
            </w:r>
          </w:p>
        </w:tc>
      </w:tr>
      <w:tr>
        <w:tc>
          <w:tcPr>
            <w:tcW w:type="dxa" w:w="1728"/>
          </w:tcPr>
          <w:p>
            <w:r>
              <w:rPr>
                <w:rFonts w:ascii="Calibri" w:hAnsi="Calibri"/>
                <w:sz w:val="22"/>
              </w:rPr>
              <w:t>Q2 2026 GAAP Non-Operating Expense</w:t>
            </w:r>
          </w:p>
        </w:tc>
        <w:tc>
          <w:tcPr>
            <w:tcW w:type="dxa" w:w="1728"/>
          </w:tcPr>
          <w:p>
            <w:r>
              <w:rPr>
                <w:rFonts w:ascii="Calibri" w:hAnsi="Calibri"/>
                <w:sz w:val="22"/>
              </w:rPr>
              <w:t>$160M – $165M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Q2 2026 Adj. Non-Operating Expense</w:t>
            </w:r>
          </w:p>
        </w:tc>
        <w:tc>
          <w:tcPr>
            <w:tcW w:type="dxa" w:w="1728"/>
          </w:tcPr>
          <w:p>
            <w:r>
              <w:rPr>
                <w:rFonts w:ascii="Calibri" w:hAnsi="Calibri"/>
                <w:sz w:val="22"/>
              </w:rPr>
              <w:t>$180M – $185M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Q2 2026 Diluted Share Count</w:t>
            </w:r>
          </w:p>
        </w:tc>
        <w:tc>
          <w:tcPr>
            <w:tcW w:type="dxa" w:w="1728"/>
          </w:tcPr>
          <w:p>
            <w:r>
              <w:rPr>
                <w:rFonts w:ascii="Calibri" w:hAnsi="Calibri"/>
                <w:sz w:val="22"/>
              </w:rPr>
              <w:t>565M – 571M weighted avg.</w:t>
            </w:r>
          </w:p>
        </w:tc>
        <w:tc>
          <w:tcPr>
            <w:tcW w:type="dxa" w:w="1728"/>
          </w:tcPr>
          <w:p>
            <w:r>
              <w:rPr>
                <w:rFonts w:ascii="Calibri" w:hAnsi="Calibri"/>
                <w:sz w:val="22"/>
              </w:rPr>
              <w:t>—</w:t>
            </w:r>
          </w:p>
        </w:tc>
        <w:tc>
          <w:tcPr>
            <w:tcW w:type="dxa" w:w="1728"/>
          </w:tcPr>
          <w:p>
            <w:r>
              <w:rPr>
                <w:rFonts w:ascii="Calibri" w:hAnsi="Calibri"/>
                <w:sz w:val="22"/>
              </w:rPr>
              <w:t>~568M (midpoint)</w:t>
            </w:r>
          </w:p>
        </w:tc>
        <w:tc>
          <w:tcPr>
            <w:tcW w:type="dxa" w:w="1728"/>
          </w:tcPr>
          <w:p>
            <w:r>
              <w:rPr>
                <w:rFonts w:ascii="Calibri" w:hAnsi="Calibri"/>
                <w:sz w:val="22"/>
              </w:rPr>
              <w:t>Unchanged; aggressive buybacks in Q1 ($1.2B adj. FCF) support continued repurchases</w:t>
            </w:r>
          </w:p>
        </w:tc>
      </w:tr>
      <w:tr>
        <w:tc>
          <w:tcPr>
            <w:tcW w:type="dxa" w:w="1728"/>
          </w:tcPr>
          <w:p>
            <w:r>
              <w:rPr>
                <w:rFonts w:ascii="Calibri" w:hAnsi="Calibri"/>
                <w:sz w:val="22"/>
              </w:rPr>
              <w:t>Mortgage Technology Recurring Revenue (Q2)</w:t>
            </w:r>
          </w:p>
        </w:tc>
        <w:tc>
          <w:tcPr>
            <w:tcW w:type="dxa" w:w="1728"/>
          </w:tcPr>
          <w:p>
            <w:r>
              <w:rPr>
                <w:rFonts w:ascii="Calibri" w:hAnsi="Calibri"/>
                <w:sz w:val="22"/>
              </w:rPr>
              <w:t>“Remain around current levels” (~$401M; Q1 included ~$4M one-time)</w:t>
            </w:r>
          </w:p>
        </w:tc>
        <w:tc>
          <w:tcPr>
            <w:tcW w:type="dxa" w:w="1728"/>
          </w:tcPr>
          <w:p>
            <w:r>
              <w:rPr>
                <w:rFonts w:ascii="Calibri" w:hAnsi="Calibri"/>
                <w:sz w:val="22"/>
              </w:rPr>
              <w:t>—</w:t>
            </w:r>
          </w:p>
        </w:tc>
        <w:tc>
          <w:tcPr>
            <w:tcW w:type="dxa" w:w="1728"/>
          </w:tcPr>
          <w:p>
            <w:r>
              <w:rPr>
                <w:rFonts w:ascii="Calibri" w:hAnsi="Calibri"/>
                <w:sz w:val="22"/>
              </w:rPr>
              <w:t>$402M</w:t>
            </w:r>
          </w:p>
        </w:tc>
        <w:tc>
          <w:tcPr>
            <w:tcW w:type="dxa" w:w="1728"/>
          </w:tcPr>
          <w:p>
            <w:r>
              <w:rPr>
                <w:rFonts w:ascii="Calibri" w:hAnsi="Calibri"/>
                <w:sz w:val="22"/>
              </w:rPr>
              <w:t>Consensus in-line with guidance; slight sequential dip expected as one-time items roll off</w:t>
            </w:r>
          </w:p>
        </w:tc>
      </w:tr>
      <w:tr>
        <w:tc>
          <w:tcPr>
            <w:tcW w:type="dxa" w:w="1728"/>
          </w:tcPr>
          <w:p>
            <w:r>
              <w:rPr>
                <w:rFonts w:ascii="Calibri" w:hAnsi="Calibri"/>
                <w:sz w:val="22"/>
              </w:rPr>
              <w:t>FIDS Recurring Revenue (FY 2026)</w:t>
            </w:r>
          </w:p>
        </w:tc>
        <w:tc>
          <w:tcPr>
            <w:tcW w:type="dxa" w:w="1728"/>
          </w:tcPr>
          <w:p>
            <w:r>
              <w:rPr>
                <w:rFonts w:ascii="Calibri" w:hAnsi="Calibri"/>
                <w:sz w:val="22"/>
              </w:rPr>
              <w:t>High end of mid-single-digit range</w:t>
            </w:r>
          </w:p>
        </w:tc>
        <w:tc>
          <w:tcPr>
            <w:tcW w:type="dxa" w:w="1728"/>
          </w:tcPr>
          <w:p>
            <w:r>
              <w:rPr>
                <w:rFonts w:ascii="Calibri" w:hAnsi="Calibri"/>
                <w:sz w:val="22"/>
              </w:rPr>
              <w:t>—</w:t>
            </w:r>
          </w:p>
        </w:tc>
        <w:tc>
          <w:tcPr>
            <w:tcW w:type="dxa" w:w="1728"/>
          </w:tcPr>
          <w:p>
            <w:r>
              <w:rPr>
                <w:rFonts w:ascii="Calibri" w:hAnsi="Calibri"/>
                <w:sz w:val="22"/>
              </w:rPr>
              <w:t>$2,100M (FY 2026)</w:t>
            </w:r>
          </w:p>
        </w:tc>
        <w:tc>
          <w:tcPr>
            <w:tcW w:type="dxa" w:w="1728"/>
          </w:tcPr>
          <w:p>
            <w:r>
              <w:rPr>
                <w:rFonts w:ascii="Calibri" w:hAnsi="Calibri"/>
                <w:sz w:val="22"/>
              </w:rPr>
              <w:t>CFO noted strong Q1 start gives “incremental confidence” in high-end target; H2 comps tougher as Hall 5 data center fills out</w:t>
            </w:r>
          </w:p>
        </w:tc>
      </w:tr>
      <w:tr>
        <w:tc>
          <w:tcPr>
            <w:tcW w:type="dxa" w:w="1728"/>
          </w:tcPr>
          <w:p>
            <w:r>
              <w:rPr>
                <w:rFonts w:ascii="Calibri" w:hAnsi="Calibri"/>
                <w:sz w:val="22"/>
              </w:rPr>
              <w:t>FY 2026 Adj. Operating Expenses</w:t>
            </w:r>
          </w:p>
        </w:tc>
        <w:tc>
          <w:tcPr>
            <w:tcW w:type="dxa" w:w="1728"/>
          </w:tcPr>
          <w:p>
            <w:r>
              <w:rPr>
                <w:rFonts w:ascii="Calibri" w:hAnsi="Calibri"/>
                <w:sz w:val="22"/>
              </w:rPr>
              <w:t>$4.145B – $4.195B</w:t>
            </w:r>
          </w:p>
        </w:tc>
        <w:tc>
          <w:tcPr>
            <w:tcW w:type="dxa" w:w="1728"/>
          </w:tcPr>
          <w:p>
            <w:r>
              <w:rPr>
                <w:rFonts w:ascii="Calibri" w:hAnsi="Calibri"/>
                <w:sz w:val="22"/>
              </w:rPr>
              <w:t>—</w:t>
            </w:r>
          </w:p>
        </w:tc>
        <w:tc>
          <w:tcPr>
            <w:tcW w:type="dxa" w:w="1728"/>
          </w:tcPr>
          <w:p>
            <w:r>
              <w:rPr>
                <w:rFonts w:ascii="Calibri" w:hAnsi="Calibri"/>
                <w:sz w:val="22"/>
              </w:rPr>
              <w:t>N/A — not tracked by VA</w:t>
            </w:r>
          </w:p>
        </w:tc>
        <w:tc>
          <w:tcPr>
            <w:tcW w:type="dxa" w:w="1728"/>
          </w:tcPr>
          <w:p>
            <w:r>
              <w:rPr>
                <w:rFonts w:ascii="Calibri" w:hAnsi="Calibri"/>
                <w:sz w:val="22"/>
              </w:rPr>
              <w:t>Unchanged; full-year guidance reiterated at Q1 earnings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estimates have been </w:t>
      </w:r>
      <w:r>
        <w:rPr>
          <w:rFonts w:ascii="Calibri" w:hAnsi="Calibri"/>
          <w:b/>
          <w:color w:val="E5484D"/>
          <w:sz w:val="22"/>
        </w:rPr>
        <w:t>revised down meaningfully since Q1 earnings</w:t>
      </w:r>
      <w:r>
        <w:rPr>
          <w:rFonts w:ascii="Calibri" w:hAnsi="Calibri"/>
          <w:color w:val="525866"/>
          <w:sz w:val="22"/>
        </w:rPr>
        <w:t xml:space="preserve"> — adj. EPS fell from $1.93 to $1.83 (-5.2%) and energy futures revenue from $618M to $516M (-16.5%) — reflecting the street pricing in a sharp energy normalization. Full-year 2026 estimates are </w:t>
      </w:r>
      <w:r>
        <w:rPr>
          <w:rFonts w:ascii="Calibri" w:hAnsi="Calibri"/>
          <w:b/>
          <w:color w:val="525866"/>
          <w:sz w:val="22"/>
        </w:rPr>
        <w:t>more stable</w:t>
      </w:r>
      <w:r>
        <w:rPr>
          <w:rFonts w:ascii="Calibri" w:hAnsi="Calibri"/>
          <w:color w:val="525866"/>
          <w:sz w:val="22"/>
        </w:rPr>
        <w:t>, suggesting the Q2 step-down is viewed as transitory; the gap between current Q2 consensus and the post-Q1 baseline represents a potential cushion if volumes hold better than feared.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5, 2026 — 5 Days Post Q1 Earnings)</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$1.93</w:t>
            </w:r>
          </w:p>
        </w:tc>
        <w:tc>
          <w:tcPr>
            <w:tcW w:type="dxa" w:w="1080"/>
          </w:tcPr>
          <w:p>
            <w:r>
              <w:rPr>
                <w:rFonts w:ascii="Calibri" w:hAnsi="Calibri"/>
                <w:sz w:val="22"/>
              </w:rPr>
              <w:t>$1.83</w:t>
            </w:r>
          </w:p>
        </w:tc>
        <w:tc>
          <w:tcPr>
            <w:tcW w:type="dxa" w:w="1080"/>
          </w:tcPr>
          <w:p>
            <w:r>
              <w:rPr>
                <w:rFonts w:ascii="Calibri" w:hAnsi="Calibri"/>
                <w:b/>
                <w:color w:val="E5484D"/>
                <w:sz w:val="22"/>
              </w:rPr>
              <w:t>-5.2%</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$8.12</w:t>
            </w:r>
          </w:p>
        </w:tc>
        <w:tc>
          <w:tcPr>
            <w:tcW w:type="dxa" w:w="1080"/>
          </w:tcPr>
          <w:p>
            <w:r>
              <w:rPr>
                <w:rFonts w:ascii="Calibri" w:hAnsi="Calibri"/>
                <w:sz w:val="22"/>
              </w:rPr>
              <w:t>$7.99</w:t>
            </w:r>
          </w:p>
        </w:tc>
        <w:tc>
          <w:tcPr>
            <w:tcW w:type="dxa" w:w="1080"/>
          </w:tcPr>
          <w:p>
            <w:r>
              <w:rPr>
                <w:rFonts w:ascii="Calibri" w:hAnsi="Calibri"/>
                <w:b/>
                <w:color w:val="E5484D"/>
                <w:sz w:val="22"/>
              </w:rPr>
              <w:t>-1.6%</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Q2 2026</w:t>
            </w:r>
          </w:p>
        </w:tc>
        <w:tc>
          <w:tcPr>
            <w:tcW w:type="dxa" w:w="1080"/>
          </w:tcPr>
          <w:p>
            <w:r>
              <w:rPr>
                <w:rFonts w:ascii="Calibri" w:hAnsi="Calibri"/>
                <w:sz w:val="22"/>
              </w:rPr>
              <w:t>$2,694M</w:t>
            </w:r>
          </w:p>
        </w:tc>
        <w:tc>
          <w:tcPr>
            <w:tcW w:type="dxa" w:w="1080"/>
          </w:tcPr>
          <w:p>
            <w:r>
              <w:rPr>
                <w:rFonts w:ascii="Calibri" w:hAnsi="Calibri"/>
                <w:sz w:val="22"/>
              </w:rPr>
              <w:t>$2,621M</w:t>
            </w:r>
          </w:p>
        </w:tc>
        <w:tc>
          <w:tcPr>
            <w:tcW w:type="dxa" w:w="1080"/>
          </w:tcPr>
          <w:p>
            <w:r>
              <w:rPr>
                <w:rFonts w:ascii="Calibri" w:hAnsi="Calibri"/>
                <w:b/>
                <w:color w:val="E5484D"/>
                <w:sz w:val="22"/>
              </w:rPr>
              <w:t>-2.7%</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FY 2026</w:t>
            </w:r>
          </w:p>
        </w:tc>
        <w:tc>
          <w:tcPr>
            <w:tcW w:type="dxa" w:w="1080"/>
          </w:tcPr>
          <w:p>
            <w:r>
              <w:rPr>
                <w:rFonts w:ascii="Calibri" w:hAnsi="Calibri"/>
                <w:sz w:val="22"/>
              </w:rPr>
              <w:t>$11,039M</w:t>
            </w:r>
          </w:p>
        </w:tc>
        <w:tc>
          <w:tcPr>
            <w:tcW w:type="dxa" w:w="1080"/>
          </w:tcPr>
          <w:p>
            <w:r>
              <w:rPr>
                <w:rFonts w:ascii="Calibri" w:hAnsi="Calibri"/>
                <w:sz w:val="22"/>
              </w:rPr>
              <w:t>$10,948M</w:t>
            </w:r>
          </w:p>
        </w:tc>
        <w:tc>
          <w:tcPr>
            <w:tcW w:type="dxa" w:w="1080"/>
          </w:tcPr>
          <w:p>
            <w:r>
              <w:rPr>
                <w:rFonts w:ascii="Calibri" w:hAnsi="Calibri"/>
                <w:sz w:val="22"/>
              </w:rPr>
              <w:t>-0.8%</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Energy Futures Revenue — Q2 2026</w:t>
            </w:r>
          </w:p>
        </w:tc>
        <w:tc>
          <w:tcPr>
            <w:tcW w:type="dxa" w:w="1080"/>
          </w:tcPr>
          <w:p>
            <w:r>
              <w:rPr>
                <w:rFonts w:ascii="Calibri" w:hAnsi="Calibri"/>
                <w:sz w:val="22"/>
              </w:rPr>
              <w:t>$618M</w:t>
            </w:r>
          </w:p>
        </w:tc>
        <w:tc>
          <w:tcPr>
            <w:tcW w:type="dxa" w:w="1080"/>
          </w:tcPr>
          <w:p>
            <w:r>
              <w:rPr>
                <w:rFonts w:ascii="Calibri" w:hAnsi="Calibri"/>
                <w:sz w:val="22"/>
              </w:rPr>
              <w:t>$516M</w:t>
            </w:r>
          </w:p>
        </w:tc>
        <w:tc>
          <w:tcPr>
            <w:tcW w:type="dxa" w:w="1080"/>
          </w:tcPr>
          <w:p>
            <w:r>
              <w:rPr>
                <w:rFonts w:ascii="Calibri" w:hAnsi="Calibri"/>
                <w:b/>
                <w:color w:val="E5484D"/>
                <w:sz w:val="22"/>
              </w:rPr>
              <w:t>-16.5%</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Energy Futures Revenue — FY 2026</w:t>
            </w:r>
          </w:p>
        </w:tc>
        <w:tc>
          <w:tcPr>
            <w:tcW w:type="dxa" w:w="1080"/>
          </w:tcPr>
          <w:p>
            <w:r>
              <w:rPr>
                <w:rFonts w:ascii="Calibri" w:hAnsi="Calibri"/>
                <w:sz w:val="22"/>
              </w:rPr>
              <w:t>$2,645M</w:t>
            </w:r>
          </w:p>
        </w:tc>
        <w:tc>
          <w:tcPr>
            <w:tcW w:type="dxa" w:w="1080"/>
          </w:tcPr>
          <w:p>
            <w:r>
              <w:rPr>
                <w:rFonts w:ascii="Calibri" w:hAnsi="Calibri"/>
                <w:sz w:val="22"/>
              </w:rPr>
              <w:t>$2,509M</w:t>
            </w:r>
          </w:p>
        </w:tc>
        <w:tc>
          <w:tcPr>
            <w:tcW w:type="dxa" w:w="1080"/>
          </w:tcPr>
          <w:p>
            <w:r>
              <w:rPr>
                <w:rFonts w:ascii="Calibri" w:hAnsi="Calibri"/>
                <w:b/>
                <w:color w:val="E5484D"/>
                <w:sz w:val="22"/>
              </w:rPr>
              <w:t>-5.1%</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Mortgage Tech. Recurring Rev. — Q2 2026</w:t>
            </w:r>
          </w:p>
        </w:tc>
        <w:tc>
          <w:tcPr>
            <w:tcW w:type="dxa" w:w="1080"/>
          </w:tcPr>
          <w:p>
            <w:r>
              <w:rPr>
                <w:rFonts w:ascii="Calibri" w:hAnsi="Calibri"/>
                <w:sz w:val="22"/>
              </w:rPr>
              <w:t>$403M</w:t>
            </w:r>
          </w:p>
        </w:tc>
        <w:tc>
          <w:tcPr>
            <w:tcW w:type="dxa" w:w="1080"/>
          </w:tcPr>
          <w:p>
            <w:r>
              <w:rPr>
                <w:rFonts w:ascii="Calibri" w:hAnsi="Calibri"/>
                <w:sz w:val="22"/>
              </w:rPr>
              <w:t>$402M</w:t>
            </w:r>
          </w:p>
        </w:tc>
        <w:tc>
          <w:tcPr>
            <w:tcW w:type="dxa" w:w="1080"/>
          </w:tcPr>
          <w:p>
            <w:r>
              <w:rPr>
                <w:rFonts w:ascii="Calibri" w:hAnsi="Calibri"/>
                <w:sz w:val="22"/>
              </w:rPr>
              <w:t>-0.2%</w:t>
            </w:r>
          </w:p>
        </w:tc>
        <w:tc>
          <w:tcPr>
            <w:tcW w:type="dxa" w:w="1080"/>
          </w:tcPr>
          <w:p>
            <w:r>
              <w:rPr>
                <w:rFonts w:ascii="Calibri" w:hAnsi="Calibri"/>
                <w:sz w:val="22"/>
              </w:rPr>
              <w:t>~Current levels (~$401M)</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~In-line</w:t>
            </w:r>
          </w:p>
        </w:tc>
      </w:tr>
      <w:tr>
        <w:tc>
          <w:tcPr>
            <w:tcW w:type="dxa" w:w="1080"/>
          </w:tcPr>
          <w:p>
            <w:r>
              <w:rPr>
                <w:rFonts w:ascii="Calibri" w:hAnsi="Calibri"/>
                <w:sz w:val="22"/>
              </w:rPr>
              <w:t>FIDS Recurring Revenue — Q2 2026</w:t>
            </w:r>
          </w:p>
        </w:tc>
        <w:tc>
          <w:tcPr>
            <w:tcW w:type="dxa" w:w="1080"/>
          </w:tcPr>
          <w:p>
            <w:r>
              <w:rPr>
                <w:rFonts w:ascii="Calibri" w:hAnsi="Calibri"/>
                <w:sz w:val="22"/>
              </w:rPr>
              <w:t>$521M</w:t>
            </w:r>
          </w:p>
        </w:tc>
        <w:tc>
          <w:tcPr>
            <w:tcW w:type="dxa" w:w="1080"/>
          </w:tcPr>
          <w:p>
            <w:r>
              <w:rPr>
                <w:rFonts w:ascii="Calibri" w:hAnsi="Calibri"/>
                <w:sz w:val="22"/>
              </w:rPr>
              <w:t>$521M</w:t>
            </w:r>
          </w:p>
        </w:tc>
        <w:tc>
          <w:tcPr>
            <w:tcW w:type="dxa" w:w="1080"/>
          </w:tcPr>
          <w:p>
            <w:r>
              <w:rPr>
                <w:rFonts w:ascii="Calibri" w:hAnsi="Calibri"/>
                <w:sz w:val="22"/>
              </w:rPr>
              <w:t>0.0%</w:t>
            </w:r>
          </w:p>
        </w:tc>
        <w:tc>
          <w:tcPr>
            <w:tcW w:type="dxa" w:w="1080"/>
          </w:tcPr>
          <w:p>
            <w:r>
              <w:rPr>
                <w:rFonts w:ascii="Calibri" w:hAnsi="Calibri"/>
                <w:sz w:val="22"/>
              </w:rPr>
              <w:t>High end of mid-single-digit FY range</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Tracking above FY guidance</w:t>
            </w:r>
          </w:p>
        </w:tc>
      </w:tr>
      <w:tr>
        <w:tc>
          <w:tcPr>
            <w:tcW w:type="dxa" w:w="1080"/>
          </w:tcPr>
          <w:p>
            <w:r>
              <w:rPr>
                <w:rFonts w:ascii="Calibri" w:hAnsi="Calibri"/>
                <w:sz w:val="22"/>
              </w:rPr>
              <w:t>Adj. Operating Income — Q2 2026</w:t>
            </w:r>
          </w:p>
        </w:tc>
        <w:tc>
          <w:tcPr>
            <w:tcW w:type="dxa" w:w="1080"/>
          </w:tcPr>
          <w:p>
            <w:r>
              <w:rPr>
                <w:rFonts w:ascii="Calibri" w:hAnsi="Calibri"/>
                <w:sz w:val="22"/>
              </w:rPr>
              <w:t>$1,658M</w:t>
            </w:r>
          </w:p>
        </w:tc>
        <w:tc>
          <w:tcPr>
            <w:tcW w:type="dxa" w:w="1080"/>
          </w:tcPr>
          <w:p>
            <w:r>
              <w:rPr>
                <w:rFonts w:ascii="Calibri" w:hAnsi="Calibri"/>
                <w:sz w:val="22"/>
              </w:rPr>
              <w:t>$1,589M</w:t>
            </w:r>
          </w:p>
        </w:tc>
        <w:tc>
          <w:tcPr>
            <w:tcW w:type="dxa" w:w="1080"/>
          </w:tcPr>
          <w:p>
            <w:r>
              <w:rPr>
                <w:rFonts w:ascii="Calibri" w:hAnsi="Calibri"/>
                <w:b/>
                <w:color w:val="E5484D"/>
                <w:sz w:val="22"/>
              </w:rPr>
              <w:t>-4.2%</w:t>
            </w:r>
          </w:p>
        </w:tc>
        <w:tc>
          <w:tcPr>
            <w:tcW w:type="dxa" w:w="1080"/>
          </w:tcPr>
          <w:p>
            <w:r>
              <w:rPr>
                <w:rFonts w:ascii="Calibri" w:hAnsi="Calibri"/>
                <w:sz w:val="22"/>
              </w:rPr>
              <w:t>Adj. opex $1.030–$1.040B</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Implied ~in-line on cost side</w:t>
            </w:r>
          </w:p>
        </w:tc>
      </w:tr>
    </w:tbl>
    <w:p>
      <w:r>
        <w:rPr>
          <w:rFonts w:ascii="Calibri" w:hAnsi="Calibri"/>
          <w:b/>
          <w:color w:val="525866"/>
          <w:sz w:val="22"/>
        </w:rPr>
        <w:t xml:space="preserve">The most notable revision is the </w:t>
      </w:r>
      <w:r>
        <w:rPr>
          <w:rFonts w:ascii="Calibri" w:hAnsi="Calibri"/>
          <w:b/>
          <w:color w:val="E5484D"/>
          <w:sz w:val="22"/>
        </w:rPr>
        <w:t>-16.5% cut to Q2 energy futures revenue consensus</w:t>
      </w:r>
      <w:r>
        <w:rPr>
          <w:rFonts w:ascii="Calibri" w:hAnsi="Calibri"/>
          <w:color w:val="525866"/>
          <w:sz w:val="22"/>
        </w:rPr>
        <w:t xml:space="preserve"> since Q1 earnings — the street is pricing in a near-complete reversal of the Iran-war geopolitical premium. Given that Q2 volume data showed financials ADV +22% YoY and interest rates ADV +24% YoY, the energy step-down may be less severe than modeled, creating upside optionality.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ICE has </w:t>
      </w:r>
      <w:r>
        <w:rPr>
          <w:rFonts w:ascii="Calibri" w:hAnsi="Calibri"/>
          <w:b/>
          <w:color w:val="E5484D"/>
          <w:sz w:val="22"/>
        </w:rPr>
        <w:t>significantly underperformed peers since Q1 earnings</w:t>
      </w:r>
      <w:r>
        <w:rPr>
          <w:rFonts w:ascii="Calibri" w:hAnsi="Calibri"/>
          <w:color w:val="525866"/>
          <w:sz w:val="22"/>
        </w:rPr>
        <w:t xml:space="preserve"> — down ~2.4% vs. SPGI roughly flat and CME down ~8% — driven by multiple compression rather than estimate cuts, as the stock de-rated on investor uncertainty about energy revenue sustainability and the broader ‘SaaS apocalypse’ narrative around data monetization in an AI world; the compressed valuation sets up a favorable risk/reward into the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ICE vs. SPGI vs. CME — Indexed Price Performance Since Q1 2026 Earnings (Apr 30, 2026 = 100). Source: Stock Price Data.</w:t>
      </w:r>
    </w:p>
    <w:p>
      <w:r>
        <w:rPr>
          <w:rFonts w:ascii="Calibri" w:hAnsi="Calibri"/>
          <w:color w:val="525866"/>
          <w:sz w:val="22"/>
        </w:rPr>
        <w:t xml:space="preserve">Since Q1 2026 earnings on April 30, ICE has declined approximately </w:t>
      </w:r>
      <w:r>
        <w:rPr>
          <w:rFonts w:ascii="Calibri" w:hAnsi="Calibri"/>
          <w:b/>
          <w:color w:val="525866"/>
          <w:sz w:val="22"/>
        </w:rPr>
        <w:t>2.4%</w:t>
      </w:r>
      <w:r>
        <w:rPr>
          <w:rFonts w:ascii="Calibri" w:hAnsi="Calibri"/>
          <w:color w:val="525866"/>
          <w:sz w:val="22"/>
        </w:rPr>
        <w:t xml:space="preserve"> (from $158.09 to $154.28 as of July 29), while SPGI is roughly flat (-2.7%) and CME has declined ~7.8%. The sector ETF proxy (SPGI and CME as exchange/financial data peers) shows ICE has been the relative laggard despite delivering the strongest Q1 beat. The stock hit a trough of ~$122.91 on June 29 (indexed ~77.7) before recovering sharply in July, suggesting the market had priced in excessive pessimism around energy revenue normalization. The July recovery — from ~$123 to ~$154 — coincides with the July 6 Q2 volume statistics release showing OI up 20% YoY and record financials volumes, which provided a strong implicit read-through. Management has explicitly acknowledged the stock trades at a discount to fundamentals, attributing it partly to investor uncertainty about data monetization in an AI world. At current levels, ICE trades at a meaningful discount to its own historical multiple, which management views as temporary and expects fundamentals to ultimately be recognized. Key events marked: Q1 2026 earnings (Apr 30), Q2 volume statistics release (Jul 6).</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30A46C"/>
          <w:sz w:val="22"/>
        </w:rPr>
        <w:t>Q2 volume statistics release (July 6) showing total OI up 20% YoY</w:t>
      </w:r>
      <w:r>
        <w:rPr>
          <w:rFonts w:ascii="Calibri" w:hAnsi="Calibri"/>
          <w:color w:val="525866"/>
          <w:sz w:val="22"/>
        </w:rPr>
        <w:t xml:space="preserve"> — this is the single most important leading indicator for ICE’s exchange revenues and strongly implies Q2 exchange performance will be robust despite the energy step-down from Q1’s geopolitical spike.</w:t>
      </w:r>
    </w:p>
    <w:p>
      <w:pPr>
        <w:pStyle w:val="ListBullet"/>
        <w:ind w:left="360" w:hanging="360"/>
      </w:pPr>
      <w:r>
        <w:rPr>
          <w:rFonts w:ascii="Calibri" w:hAnsi="Calibri"/>
          <w:b/>
          <w:color w:val="525866"/>
          <w:sz w:val="22"/>
        </w:rPr>
        <w:t>July 6, 2026 — Q2 &amp; June 2026 Volume Statistics Release (ICE IR):</w:t>
      </w:r>
      <w:r>
        <w:rPr>
          <w:rFonts w:ascii="Calibri" w:hAnsi="Calibri"/>
          <w:color w:val="525866"/>
          <w:sz w:val="22"/>
        </w:rPr>
        <w:t xml:space="preserve"> Total open interest up 20% YoY across ICE’s markets; financials ADV +22% YoY; interest rates ADV +24% YoY; record agriculture &amp; metals ADV +36% YoY; NYSE equity options ADV +44% YoY; NYSE cash equities ADV +12% YoY. Ben Jackson (President): “Open interest is up 20% year-over-year across ICE’s markets, highlighting the value of our global, all-weather model.” Record OI of 56.8M lots in financials on June 11 and 53.0M lots in interest rates on June 11. </w:t>
      </w:r>
      <w:r>
        <w:rPr>
          <w:rFonts w:ascii="Calibri" w:hAnsi="Calibri"/>
          <w:i/>
          <w:color w:val="525866"/>
          <w:sz w:val="22"/>
        </w:rPr>
        <w:t>Implication: Strongest possible pre-print signal for exchange segment; volume data de-risks the revenue step-down narrative.</w:t>
      </w:r>
    </w:p>
    <w:p>
      <w:pPr>
        <w:pStyle w:val="ListBullet"/>
        <w:ind w:left="360" w:hanging="360"/>
      </w:pPr>
      <w:r>
        <w:rPr>
          <w:rFonts w:ascii="Calibri" w:hAnsi="Calibri"/>
          <w:b/>
          <w:color w:val="525866"/>
          <w:sz w:val="22"/>
        </w:rPr>
        <w:t>June 30, 2026 — ICE GreenTrace Environmental Registry Launch:</w:t>
      </w:r>
      <w:r>
        <w:rPr>
          <w:rFonts w:ascii="Calibri" w:hAnsi="Calibri"/>
          <w:color w:val="525866"/>
          <w:sz w:val="22"/>
        </w:rPr>
        <w:t xml:space="preserve"> ICE launched the ICE GreenTrace Environmental Registry for carbon markets, extending its data and analytics infrastructure into environmental commodities. </w:t>
      </w:r>
      <w:r>
        <w:rPr>
          <w:rFonts w:ascii="Calibri" w:hAnsi="Calibri"/>
          <w:i/>
          <w:color w:val="525866"/>
          <w:sz w:val="22"/>
        </w:rPr>
        <w:t>Implication: Incremental revenue opportunity in fast-growing carbon markets; reinforces ICE’s commodity data franchise.</w:t>
      </w:r>
    </w:p>
    <w:p>
      <w:pPr>
        <w:pStyle w:val="ListBullet"/>
        <w:ind w:left="360" w:hanging="360"/>
      </w:pPr>
      <w:r>
        <w:rPr>
          <w:rFonts w:ascii="Calibri" w:hAnsi="Calibri"/>
          <w:b/>
          <w:color w:val="525866"/>
          <w:sz w:val="22"/>
        </w:rPr>
        <w:t>June 3, 2026 — COO Stuart Williams Presents at Piper Sandler Global Exchange &amp; Trading Conference:</w:t>
      </w:r>
      <w:r>
        <w:rPr>
          <w:rFonts w:ascii="Calibri" w:hAnsi="Calibri"/>
          <w:color w:val="525866"/>
          <w:sz w:val="22"/>
        </w:rPr>
        <w:t xml:space="preserve"> ICE COO presented at the Piper Sandler conference, providing an opportunity for management to update the street on Q2 trends. No material guidance changes were disclosed. </w:t>
      </w:r>
      <w:r>
        <w:rPr>
          <w:rFonts w:ascii="Calibri" w:hAnsi="Calibri"/>
          <w:i/>
          <w:color w:val="525866"/>
          <w:sz w:val="22"/>
        </w:rPr>
        <w:t>Implication: Management engagement with the street mid-quarter; absence of negative pre-announcement is constructive.</w:t>
      </w:r>
    </w:p>
    <w:p>
      <w:pPr>
        <w:pStyle w:val="ListBullet"/>
        <w:ind w:left="360" w:hanging="360"/>
      </w:pPr>
      <w:r>
        <w:rPr>
          <w:rFonts w:ascii="Calibri" w:hAnsi="Calibri"/>
          <w:b/>
          <w:color w:val="525866"/>
          <w:sz w:val="22"/>
        </w:rPr>
        <w:t>May 27, 2026 — CEO Jeffrey Sprecher Presents at Bernstein 42nd Annual Strategic Decisions Conference:</w:t>
      </w:r>
      <w:r>
        <w:rPr>
          <w:rFonts w:ascii="Calibri" w:hAnsi="Calibri"/>
          <w:color w:val="525866"/>
          <w:sz w:val="22"/>
        </w:rPr>
        <w:t xml:space="preserve"> CEO presented at Bernstein conference. No material guidance changes disclosed. </w:t>
      </w:r>
      <w:r>
        <w:rPr>
          <w:rFonts w:ascii="Calibri" w:hAnsi="Calibri"/>
          <w:i/>
          <w:color w:val="525866"/>
          <w:sz w:val="22"/>
        </w:rPr>
        <w:t>Implication: Continued management engagement; no negative pre-announcement.</w:t>
      </w:r>
    </w:p>
    <w:p>
      <w:pPr>
        <w:pStyle w:val="ListBullet"/>
        <w:ind w:left="360" w:hanging="360"/>
      </w:pPr>
      <w:r>
        <w:rPr>
          <w:rFonts w:ascii="Calibri" w:hAnsi="Calibri"/>
          <w:b/>
          <w:color w:val="525866"/>
          <w:sz w:val="22"/>
        </w:rPr>
        <w:t>May 19, 2026 — 2026 Annual Meeting of Stockholders Results:</w:t>
      </w:r>
      <w:r>
        <w:rPr>
          <w:rFonts w:ascii="Calibri" w:hAnsi="Calibri"/>
          <w:color w:val="525866"/>
          <w:sz w:val="22"/>
        </w:rPr>
        <w:t xml:space="preserve"> ICE announced results from its 2026 Annual Meeting. Routine governance event with no material business updates.</w:t>
      </w:r>
    </w:p>
    <w:p>
      <w:pPr>
        <w:pStyle w:val="ListBullet"/>
        <w:ind w:left="360" w:hanging="360"/>
      </w:pPr>
      <w:r>
        <w:rPr>
          <w:rFonts w:ascii="Calibri" w:hAnsi="Calibri"/>
          <w:b/>
          <w:color w:val="525866"/>
          <w:sz w:val="22"/>
        </w:rPr>
        <w:t>April 30, 2026 — Q1 2026 Earnings (Record Quarter):</w:t>
      </w:r>
      <w:r>
        <w:rPr>
          <w:rFonts w:ascii="Calibri" w:hAnsi="Calibri"/>
          <w:color w:val="525866"/>
          <w:sz w:val="22"/>
        </w:rPr>
        <w:t xml:space="preserve"> Record Q1 net revenues of $3.0B (+20% YoY); adj. EPS $2.35 vs. $2.25 consensus (+4.4% beat); record FCF of $1.2B; record results across all three segments simultaneously. Management guided Q2 adj. opex $1.030–$1.040B and mortgage technology recurring revenue “around current levels.” Open interest records continuing into Q2 flagged as leading indicator.</w:t>
      </w:r>
    </w:p>
    <w:p>
      <w:pPr>
        <w:pStyle w:val="ListBullet"/>
        <w:ind w:left="360" w:hanging="360"/>
      </w:pPr>
      <w:r>
        <w:rPr>
          <w:rFonts w:ascii="Calibri" w:hAnsi="Calibri"/>
          <w:b/>
          <w:color w:val="525866"/>
          <w:sz w:val="22"/>
        </w:rPr>
        <w:t>Ongoing — NYSE Tokenized Securities Platform (ATS):</w:t>
      </w:r>
      <w:r>
        <w:rPr>
          <w:rFonts w:ascii="Calibri" w:hAnsi="Calibri"/>
          <w:color w:val="525866"/>
          <w:sz w:val="22"/>
        </w:rPr>
        <w:t xml:space="preserve"> NYSE tokenized securities platform structured as an ATS sister company, seeking SEC approval to trade stocks 24/7/365 under existing US law; Securitize signed as first digital transfer agent; OKX partnership formalized for regulated crypto futures and oil-linked perpetuals. </w:t>
      </w:r>
      <w:r>
        <w:rPr>
          <w:rFonts w:ascii="Calibri" w:hAnsi="Calibri"/>
          <w:i/>
          <w:color w:val="525866"/>
          <w:sz w:val="22"/>
        </w:rPr>
        <w:t>Implication: Long-term strategic optionality; not a near-term revenue driver but a key narrative for re-rating.</w:t>
      </w:r>
    </w:p>
    <w:p>
      <w:pPr>
        <w:pStyle w:val="ListBullet"/>
        <w:ind w:left="360" w:hanging="360"/>
      </w:pPr>
      <w:r>
        <w:rPr>
          <w:rFonts w:ascii="Calibri" w:hAnsi="Calibri"/>
          <w:b/>
          <w:color w:val="525866"/>
          <w:sz w:val="22"/>
        </w:rPr>
        <w:t>Ongoing — US Treasury Clearing Live:</w:t>
      </w:r>
      <w:r>
        <w:rPr>
          <w:rFonts w:ascii="Calibri" w:hAnsi="Calibri"/>
          <w:color w:val="525866"/>
          <w:sz w:val="22"/>
        </w:rPr>
        <w:t xml:space="preserve"> US Treasury clearing operationally live following CFTC approval in February 2026; repo rulebook being built ahead of regulatory mandate. </w:t>
      </w:r>
      <w:r>
        <w:rPr>
          <w:rFonts w:ascii="Calibri" w:hAnsi="Calibri"/>
          <w:i/>
          <w:color w:val="525866"/>
          <w:sz w:val="22"/>
        </w:rPr>
        <w:t>Implication: Structural growth driver for FIDS and exchange segments as Treasury clearing mandate phases in.</w:t>
      </w:r>
    </w:p>
    <w:p>
      <w:pPr>
        <w:pStyle w:val="ListBullet"/>
        <w:ind w:left="360" w:hanging="360"/>
      </w:pPr>
      <w:r>
        <w:rPr>
          <w:rFonts w:ascii="Calibri" w:hAnsi="Calibri"/>
          <w:b/>
          <w:color w:val="525866"/>
          <w:sz w:val="22"/>
        </w:rPr>
        <w:t>Ongoing — Data Center Expansion (Mahwah Campus):</w:t>
      </w:r>
      <w:r>
        <w:rPr>
          <w:rFonts w:ascii="Calibri" w:hAnsi="Calibri"/>
          <w:color w:val="525866"/>
          <w:sz w:val="22"/>
        </w:rPr>
        <w:t xml:space="preserve"> Second data center building at Mahwah campus completed topping ceremony (structural completion); Hall 5 sold out; Hall 6 currently being sold; new colocation facility in Chicago for derivatives business announced. Forward auctions introduced for multi-year visibility. </w:t>
      </w:r>
      <w:r>
        <w:rPr>
          <w:rFonts w:ascii="Calibri" w:hAnsi="Calibri"/>
          <w:i/>
          <w:color w:val="525866"/>
          <w:sz w:val="22"/>
        </w:rPr>
        <w:t>Implication: Supports FIDS data network technology revenue growth; H2 2026 comps tougher as Hall 5 fills out.</w:t>
      </w:r>
    </w:p>
    <w:p>
      <w:pPr>
        <w:pStyle w:val="ListBullet"/>
        <w:ind w:left="360" w:hanging="360"/>
      </w:pPr>
      <w:r>
        <w:rPr>
          <w:rFonts w:ascii="Calibri" w:hAnsi="Calibri"/>
          <w:b/>
          <w:color w:val="525866"/>
          <w:sz w:val="22"/>
        </w:rPr>
        <w:t>Ongoing — Private Credit Intelligence with Apollo:</w:t>
      </w:r>
      <w:r>
        <w:rPr>
          <w:rFonts w:ascii="Calibri" w:hAnsi="Calibri"/>
          <w:color w:val="525866"/>
          <w:sz w:val="22"/>
        </w:rPr>
        <w:t xml:space="preserve"> ICE launched Private Credit Intelligence with Apollo as anchor partner, covering thousands of loans and hundreds of loan attributes. </w:t>
      </w:r>
      <w:r>
        <w:rPr>
          <w:rFonts w:ascii="Calibri" w:hAnsi="Calibri"/>
          <w:i/>
          <w:color w:val="525866"/>
          <w:sz w:val="22"/>
        </w:rPr>
        <w:t>Implication: Extends ICE’s data infrastructure into one of the fastest-growing asset classes; incremental FIDS revenue.</w:t>
      </w:r>
    </w:p>
    <w:p>
      <w:pPr>
        <w:pStyle w:val="ListBullet"/>
        <w:ind w:left="360" w:hanging="360"/>
      </w:pPr>
      <w:r>
        <w:rPr>
          <w:rFonts w:ascii="Calibri" w:hAnsi="Calibri"/>
          <w:b/>
          <w:color w:val="525866"/>
          <w:sz w:val="22"/>
        </w:rPr>
        <w:t>Ongoing — Hyperliquid Competitive Dynamic:</w:t>
      </w:r>
      <w:r>
        <w:rPr>
          <w:rFonts w:ascii="Calibri" w:hAnsi="Calibri"/>
          <w:color w:val="525866"/>
          <w:sz w:val="22"/>
        </w:rPr>
        <w:t xml:space="preserve"> DeFi exchange Hyperliquid continues to attract oil perpetual futures volume 24/7 including weekends; ICE’s response includes extended trading hours and OKX partnership for regulated oil-linked perpetuals. CEO has met with Hyperliquid founders personally. </w:t>
      </w:r>
      <w:r>
        <w:rPr>
          <w:rFonts w:ascii="Calibri" w:hAnsi="Calibri"/>
          <w:i/>
          <w:color w:val="525866"/>
          <w:sz w:val="22"/>
        </w:rPr>
        <w:t>Implication: Competitive risk to energy volumes at the margin; ICE’s regulatory framing (‘level playing field’) is the right long-term posture but near-term volume leakage is possible.</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(CME, SPGI, MCO, MSCI) collectively paint a </w:t>
      </w:r>
      <w:r>
        <w:rPr>
          <w:rFonts w:ascii="Calibri" w:hAnsi="Calibri"/>
          <w:b/>
          <w:color w:val="30A46C"/>
          <w:sz w:val="22"/>
        </w:rPr>
        <w:t>constructive picture for ICE’s exchange and data businesses</w:t>
      </w:r>
      <w:r>
        <w:rPr>
          <w:rFonts w:ascii="Calibri" w:hAnsi="Calibri"/>
          <w:color w:val="525866"/>
          <w:sz w:val="22"/>
        </w:rPr>
        <w:t xml:space="preserve">: CME reported its second-highest Q2 ADV in history with OI up 8% YoY and record market data revenue, SPGI flagged strong exchange-traded derivatives volumes (+22%), MCO rated $2T+ of debt for the second consecutive quarter, and MSCI achieved record ETF AUM and 12% total run rate growth — all pointing to a healthy capital markets environment that should benefit ICE’s exchange and FIDS segments. The one nuance: SPGI noted that </w:t>
      </w:r>
      <w:r>
        <w:rPr>
          <w:rFonts w:ascii="Calibri" w:hAnsi="Calibri"/>
          <w:b/>
          <w:color w:val="E5484D"/>
          <w:sz w:val="22"/>
        </w:rPr>
        <w:t>extreme energy volatility can dampen GTS volumes</w:t>
      </w:r>
      <w:r>
        <w:rPr>
          <w:rFonts w:ascii="Calibri" w:hAnsi="Calibri"/>
          <w:color w:val="525866"/>
          <w:sz w:val="22"/>
        </w:rPr>
        <w:t xml:space="preserve"> as participants pull back — a potential read-through risk for ICE’s energy futures revenue in Q2.</w:t>
      </w:r>
    </w:p>
    <w:p>
      <w:pPr>
        <w:pStyle w:val="Heading3"/>
      </w:pPr>
      <w:r>
        <w:rPr>
          <w:rFonts w:ascii="Calibri" w:hAnsi="Calibri"/>
          <w:b/>
          <w:color w:val="3B4259"/>
          <w:sz w:val="24"/>
        </w:rPr>
        <w:t>CME Group (CME) — Q2 2026 Earnings Call (July 22, 2026)</w:t>
      </w:r>
    </w:p>
    <w:p>
      <w:r>
        <w:rPr>
          <w:rFonts w:ascii="Calibri" w:hAnsi="Calibri"/>
          <w:b/>
          <w:color w:val="525866"/>
          <w:sz w:val="22"/>
        </w:rPr>
        <w:t xml:space="preserve">Relevance to ICE: </w:t>
      </w:r>
      <w:r>
        <w:rPr>
          <w:rFonts w:ascii="Calibri" w:hAnsi="Calibri"/>
          <w:color w:val="525866"/>
          <w:sz w:val="22"/>
        </w:rPr>
        <w:t>CME is ICE’s closest exchange peer; CME’s volume and OI trends are the most direct read-through for ICE’s exchange segment.</w:t>
      </w:r>
    </w:p>
    <w:p>
      <w:pPr>
        <w:pStyle w:val="ListBullet"/>
        <w:ind w:left="360" w:hanging="360"/>
      </w:pPr>
      <w:r>
        <w:rPr>
          <w:rFonts w:ascii="Calibri" w:hAnsi="Calibri"/>
          <w:b/>
          <w:color w:val="525866"/>
          <w:sz w:val="22"/>
        </w:rPr>
        <w:t xml:space="preserve">Record volumes across the complex: </w:t>
      </w:r>
      <w:r>
        <w:rPr>
          <w:rFonts w:ascii="Calibri" w:hAnsi="Calibri"/>
          <w:color w:val="525866"/>
          <w:sz w:val="22"/>
        </w:rPr>
        <w:t xml:space="preserve">CME reported Q2 ADV of 29.8 million contracts — the second-highest Q2 in its history and within 1% of the record. For H1 2026, volume was 10% ahead of the prior year. July-to-date volume is tracking 18% ahead of last year. </w:t>
      </w:r>
      <w:r>
        <w:rPr>
          <w:rFonts w:ascii="Calibri" w:hAnsi="Calibri"/>
          <w:b/>
          <w:i/>
          <w:color w:val="525866"/>
          <w:sz w:val="22"/>
        </w:rPr>
        <w:t>ICE read-through: Confirms broad-based derivatives volume strength in Q2; ICE’s own OI data (+20% YoY) is consistent with this picture.</w:t>
      </w:r>
    </w:p>
    <w:p>
      <w:pPr>
        <w:pStyle w:val="ListBullet"/>
        <w:ind w:left="360" w:hanging="360"/>
      </w:pPr>
      <w:r>
        <w:rPr>
          <w:rFonts w:ascii="Calibri" w:hAnsi="Calibri"/>
          <w:b/>
          <w:color w:val="525866"/>
          <w:sz w:val="22"/>
        </w:rPr>
        <w:t xml:space="preserve">Open interest up 8% YoY, new records in interest rates, equity index, and FX: </w:t>
      </w:r>
      <w:r>
        <w:rPr>
          <w:rFonts w:ascii="Calibri" w:hAnsi="Calibri"/>
          <w:color w:val="525866"/>
          <w:sz w:val="22"/>
        </w:rPr>
        <w:t xml:space="preserve">CME ended Q2 with OI up 8% over the prior year and up 16% since the beginning of 2026. New records were set for large open interest holders in interest rates, equity index, and FX. </w:t>
      </w:r>
      <w:r>
        <w:rPr>
          <w:rFonts w:ascii="Calibri" w:hAnsi="Calibri"/>
          <w:b/>
          <w:i/>
          <w:color w:val="525866"/>
          <w:sz w:val="22"/>
        </w:rPr>
        <w:t>ICE read-through: Directly corroborates ICE’s own OI data; rising OI is the leading indicator management cites for sustained exchange revenue.</w:t>
      </w:r>
    </w:p>
    <w:p>
      <w:pPr>
        <w:pStyle w:val="ListBullet"/>
        <w:ind w:left="360" w:hanging="360"/>
      </w:pPr>
      <w:r>
        <w:rPr>
          <w:rFonts w:ascii="Calibri" w:hAnsi="Calibri"/>
          <w:b/>
          <w:color w:val="525866"/>
          <w:sz w:val="22"/>
        </w:rPr>
        <w:t xml:space="preserve">Record market data revenue of $238M (+20% YoY), 33 consecutive quarters of YoY growth: </w:t>
      </w:r>
      <w:r>
        <w:rPr>
          <w:rFonts w:ascii="Calibri" w:hAnsi="Calibri"/>
          <w:color w:val="525866"/>
          <w:sz w:val="22"/>
        </w:rPr>
        <w:t xml:space="preserve">CME’s market data revenue hit a record $238M, up 20%, with 3.5% QoQ growth in professional subscribers and continued expansion in its drive data business. </w:t>
      </w:r>
      <w:r>
        <w:rPr>
          <w:rFonts w:ascii="Calibri" w:hAnsi="Calibri"/>
          <w:b/>
          <w:i/>
          <w:color w:val="525866"/>
          <w:sz w:val="22"/>
        </w:rPr>
        <w:t>ICE read-through: Positive for ICE’s exchange data services and FIDS recurring revenue; data monetization remains robust across the exchange sector.</w:t>
      </w:r>
    </w:p>
    <w:p>
      <w:pPr>
        <w:pStyle w:val="ListBullet"/>
        <w:ind w:left="360" w:hanging="360"/>
      </w:pPr>
      <w:r>
        <w:rPr>
          <w:rFonts w:ascii="Calibri" w:hAnsi="Calibri"/>
          <w:b/>
          <w:color w:val="525866"/>
          <w:sz w:val="22"/>
        </w:rPr>
        <w:t>Perpetual futures debate — CME views perps as swaps, not futures:</w:t>
      </w:r>
      <w:r>
        <w:rPr>
          <w:rFonts w:ascii="Calibri" w:hAnsi="Calibri"/>
          <w:color w:val="525866"/>
          <w:sz w:val="22"/>
        </w:rPr>
        <w:t xml:space="preserve"> CME stated it has the technical capability to launch perpetual futures but has not heard demand from institutional customers; the largest energy participant in the world explicitly said they “do not want this product” and cannot risk-manage exposures with a perpetual contract. CME’s legal view is that perps are swaps under Dodd-Frank. </w:t>
      </w:r>
      <w:r>
        <w:rPr>
          <w:rFonts w:ascii="Calibri" w:hAnsi="Calibri"/>
          <w:b/>
          <w:i/>
          <w:color w:val="525866"/>
          <w:sz w:val="22"/>
        </w:rPr>
        <w:t>ICE read-through: Validates ICE’s own framing that commercial hedgers require a forward curve, not a perpetual; reduces near-term competitive risk from regulated perps.</w:t>
      </w:r>
    </w:p>
    <w:p>
      <w:pPr>
        <w:pStyle w:val="ListBullet"/>
        <w:ind w:left="360" w:hanging="360"/>
      </w:pPr>
      <w:r>
        <w:rPr>
          <w:rFonts w:ascii="Calibri" w:hAnsi="Calibri"/>
          <w:b/>
          <w:color w:val="525866"/>
          <w:sz w:val="22"/>
        </w:rPr>
        <w:t>Crypto complex grew 32% YoY in Q2; cryptocurrency futures and options up 44% for H1 2026:</w:t>
      </w:r>
      <w:r>
        <w:rPr>
          <w:rFonts w:ascii="Calibri" w:hAnsi="Calibri"/>
          <w:color w:val="525866"/>
          <w:sz w:val="22"/>
        </w:rPr>
        <w:t xml:space="preserve"> CME’s crypto suite saw strong growth despite “slightly more muted volatility” in crypto. </w:t>
      </w:r>
      <w:r>
        <w:rPr>
          <w:rFonts w:ascii="Calibri" w:hAnsi="Calibri"/>
          <w:b/>
          <w:i/>
          <w:color w:val="525866"/>
          <w:sz w:val="22"/>
        </w:rPr>
        <w:t>ICE read-through: Positive for ICE’s NYSE equity options and broader financial derivatives complex.</w:t>
      </w:r>
    </w:p>
    <w:p>
      <w:pPr>
        <w:pStyle w:val="ListBullet"/>
        <w:ind w:left="360" w:hanging="360"/>
      </w:pPr>
      <w:r>
        <w:rPr>
          <w:rFonts w:ascii="Calibri" w:hAnsi="Calibri"/>
          <w:b/>
          <w:color w:val="525866"/>
          <w:sz w:val="22"/>
        </w:rPr>
        <w:t>Equity complex ADV of 8.6M in Q2, up 13% YoY; July equity volume up 40–50% YoY:</w:t>
      </w:r>
      <w:r>
        <w:rPr>
          <w:rFonts w:ascii="Calibri" w:hAnsi="Calibri"/>
          <w:color w:val="525866"/>
          <w:sz w:val="22"/>
        </w:rPr>
        <w:t xml:space="preserve"> June delivered 10.1M contracts, up 54% YoY. </w:t>
      </w:r>
      <w:r>
        <w:rPr>
          <w:rFonts w:ascii="Calibri" w:hAnsi="Calibri"/>
          <w:b/>
          <w:i/>
          <w:color w:val="525866"/>
          <w:sz w:val="22"/>
        </w:rPr>
        <w:t>ICE read-through: Consistent with ICE’s own data showing NYSE equity options ADV +44% YoY in Q2.</w:t>
      </w:r>
    </w:p>
    <w:p>
      <w:pPr>
        <w:pStyle w:val="ListBullet"/>
        <w:ind w:left="360" w:hanging="360"/>
      </w:pPr>
      <w:r>
        <w:rPr>
          <w:rFonts w:ascii="Calibri" w:hAnsi="Calibri"/>
          <w:b/>
          <w:color w:val="525866"/>
          <w:sz w:val="22"/>
        </w:rPr>
        <w:t>Treasury Link launch in Q4 2026:</w:t>
      </w:r>
      <w:r>
        <w:rPr>
          <w:rFonts w:ascii="Calibri" w:hAnsi="Calibri"/>
          <w:color w:val="525866"/>
          <w:sz w:val="22"/>
        </w:rPr>
        <w:t xml:space="preserve"> CME plans to launch Treasury Link in Q4 2026, linking US Treasury futures and cash Treasury liquidity pools. </w:t>
      </w:r>
      <w:r>
        <w:rPr>
          <w:rFonts w:ascii="Calibri" w:hAnsi="Calibri"/>
          <w:b/>
          <w:i/>
          <w:color w:val="525866"/>
          <w:sz w:val="22"/>
        </w:rPr>
        <w:t>ICE read-through: Competitive dynamic in Treasury clearing; ICE’s own Treasury clearing is already live, giving it a first-mover advantage.</w:t>
      </w:r>
    </w:p>
    <w:p>
      <w:pPr>
        <w:pStyle w:val="Heading3"/>
      </w:pPr>
      <w:r>
        <w:rPr>
          <w:rFonts w:ascii="Calibri" w:hAnsi="Calibri"/>
          <w:b/>
          <w:color w:val="3B4259"/>
          <w:sz w:val="24"/>
        </w:rPr>
        <w:t>S&amp;P Global (SPGI) — Q2 2026 Earnings Call (July 28, 2026)</w:t>
      </w:r>
    </w:p>
    <w:p>
      <w:r>
        <w:rPr>
          <w:rFonts w:ascii="Calibri" w:hAnsi="Calibri"/>
          <w:b/>
          <w:color w:val="525866"/>
          <w:sz w:val="22"/>
        </w:rPr>
        <w:t xml:space="preserve">Relevance to ICE: </w:t>
      </w:r>
      <w:r>
        <w:rPr>
          <w:rFonts w:ascii="Calibri" w:hAnsi="Calibri"/>
          <w:color w:val="525866"/>
          <w:sz w:val="22"/>
        </w:rPr>
        <w:t>SPGI’s Platts benchmark business and exchange-traded derivatives commentary are direct read-throughs for ICE’s energy and financial derivatives segments; SPGI’s data/analytics commentary reads through to ICE’s FIDS segment.</w:t>
      </w:r>
    </w:p>
    <w:p>
      <w:pPr>
        <w:pStyle w:val="ListBullet"/>
        <w:ind w:left="360" w:hanging="360"/>
      </w:pPr>
      <w:r>
        <w:rPr>
          <w:rFonts w:ascii="Calibri" w:hAnsi="Calibri"/>
          <w:b/>
          <w:color w:val="525866"/>
          <w:sz w:val="22"/>
        </w:rPr>
        <w:t>Exchange-traded derivatives revenue grew 22%, driven by strong SPX volumes:</w:t>
      </w:r>
      <w:r>
        <w:rPr>
          <w:rFonts w:ascii="Calibri" w:hAnsi="Calibri"/>
          <w:color w:val="525866"/>
          <w:sz w:val="22"/>
        </w:rPr>
        <w:t xml:space="preserve"> SPGI’s S&amp;P Dow Jones Indices reported ETD revenue +22%, with custom subscriptions +9%. </w:t>
      </w:r>
      <w:r>
        <w:rPr>
          <w:rFonts w:ascii="Calibri" w:hAnsi="Calibri"/>
          <w:b/>
          <w:i/>
          <w:color w:val="525866"/>
          <w:sz w:val="22"/>
        </w:rPr>
        <w:t>ICE read-through: Confirms strong derivatives volumes in Q2; consistent with ICE’s own financials ADV +22% YoY data.</w:t>
      </w:r>
    </w:p>
    <w:p>
      <w:pPr>
        <w:pStyle w:val="ListBullet"/>
        <w:ind w:left="360" w:hanging="360"/>
      </w:pPr>
      <w:r>
        <w:rPr>
          <w:rFonts w:ascii="Calibri" w:hAnsi="Calibri"/>
          <w:b/>
          <w:color w:val="525866"/>
          <w:sz w:val="22"/>
        </w:rPr>
        <w:t>Extreme energy volatility can dampen GTS volumes — key nuance:</w:t>
      </w:r>
      <w:r>
        <w:rPr>
          <w:rFonts w:ascii="Calibri" w:hAnsi="Calibri"/>
          <w:color w:val="525866"/>
          <w:sz w:val="22"/>
        </w:rPr>
        <w:t xml:space="preserve"> SPGI noted that while higher volatility is usually positive for Global Trading Services revenue, “extreme energy volatility like we saw in the second quarter can actually have a dampening effect on the market” as participants pull back and trade less. The Iran conflict complicated contract renewals with large energy customers. </w:t>
      </w:r>
      <w:r>
        <w:rPr>
          <w:rFonts w:ascii="Calibri" w:hAnsi="Calibri"/>
          <w:b/>
          <w:i/>
          <w:color w:val="E5484D"/>
          <w:sz w:val="22"/>
        </w:rPr>
        <w:t>ICE read-through: This is the most important negative read-through — if extreme energy volatility suppressed SPGI’s GTS volumes, it may have similarly dampened ICE’s energy futures revenue in Q2, supporting the street’s step-down thesis.</w:t>
      </w:r>
    </w:p>
    <w:p>
      <w:pPr>
        <w:pStyle w:val="ListBullet"/>
        <w:ind w:left="360" w:hanging="360"/>
      </w:pPr>
      <w:r>
        <w:rPr>
          <w:rFonts w:ascii="Calibri" w:hAnsi="Calibri"/>
          <w:b/>
          <w:color w:val="525866"/>
          <w:sz w:val="22"/>
        </w:rPr>
        <w:t>Platts revenue grew 4%, driven by strong price assessment demand:</w:t>
      </w:r>
      <w:r>
        <w:rPr>
          <w:rFonts w:ascii="Calibri" w:hAnsi="Calibri"/>
          <w:color w:val="525866"/>
          <w:sz w:val="22"/>
        </w:rPr>
        <w:t xml:space="preserve"> Platts revenue +4% with resilient benchmark demand, partially offset by GTS declines. Iran conflict sanctions had a 120bps negative impact on Platts and 30bps on overall growth. </w:t>
      </w:r>
      <w:r>
        <w:rPr>
          <w:rFonts w:ascii="Calibri" w:hAnsi="Calibri"/>
          <w:b/>
          <w:i/>
          <w:color w:val="525866"/>
          <w:sz w:val="22"/>
        </w:rPr>
        <w:t>ICE read-through: Mixed — benchmark demand is resilient (positive for ICE’s energy data), but GTS declines suggest some volume headwinds in energy trading.</w:t>
      </w:r>
    </w:p>
    <w:p>
      <w:pPr>
        <w:pStyle w:val="ListBullet"/>
        <w:ind w:left="360" w:hanging="360"/>
      </w:pPr>
      <w:r>
        <w:rPr>
          <w:rFonts w:ascii="Calibri" w:hAnsi="Calibri"/>
          <w:b/>
          <w:color w:val="525866"/>
          <w:sz w:val="22"/>
        </w:rPr>
        <w:t>Recurring revenue up 8% YoY; subscription revenue +6% in Market Intelligence:</w:t>
      </w:r>
      <w:r>
        <w:rPr>
          <w:rFonts w:ascii="Calibri" w:hAnsi="Calibri"/>
          <w:color w:val="525866"/>
          <w:sz w:val="22"/>
        </w:rPr>
        <w:t xml:space="preserve"> SPGI reported 8% YoY recurring revenue growth with strong retention. A 10-year contract renewal in Market Intelligence highlighted the institutional importance of data products. </w:t>
      </w:r>
      <w:r>
        <w:rPr>
          <w:rFonts w:ascii="Calibri" w:hAnsi="Calibri"/>
          <w:b/>
          <w:i/>
          <w:color w:val="525866"/>
          <w:sz w:val="22"/>
        </w:rPr>
        <w:t>ICE read-through: Positive for ICE’s FIDS recurring revenue; data stickiness remains high across the sector.</w:t>
      </w:r>
    </w:p>
    <w:p>
      <w:pPr>
        <w:pStyle w:val="ListBullet"/>
        <w:ind w:left="360" w:hanging="360"/>
      </w:pPr>
      <w:r>
        <w:rPr>
          <w:rFonts w:ascii="Calibri" w:hAnsi="Calibri"/>
          <w:b/>
          <w:color w:val="525866"/>
          <w:sz w:val="22"/>
        </w:rPr>
        <w:t>AI data monetization accelerating — ACV growth 60% faster for AI customers in Market Intelligence:</w:t>
      </w:r>
      <w:r>
        <w:rPr>
          <w:rFonts w:ascii="Calibri" w:hAnsi="Calibri"/>
          <w:color w:val="525866"/>
          <w:sz w:val="22"/>
        </w:rPr>
        <w:t xml:space="preserve"> LLM-ready API and MCP connected solution customers surpassed 500, up 70%+ QoQ; API call volume 5x Q1 levels. </w:t>
      </w:r>
      <w:r>
        <w:rPr>
          <w:rFonts w:ascii="Calibri" w:hAnsi="Calibri"/>
          <w:b/>
          <w:i/>
          <w:color w:val="525866"/>
          <w:sz w:val="22"/>
        </w:rPr>
        <w:t>ICE read-through: Validates ICE management’s thesis that AI is a tailwind for data businesses; ICE’s own MCP server rollout and Polymarket Signals product are positioned to benefit from the same trend.</w:t>
      </w:r>
    </w:p>
    <w:p>
      <w:pPr>
        <w:pStyle w:val="ListBullet"/>
        <w:ind w:left="360" w:hanging="360"/>
      </w:pPr>
      <w:r>
        <w:rPr>
          <w:rFonts w:ascii="Calibri" w:hAnsi="Calibri"/>
          <w:b/>
          <w:color w:val="525866"/>
          <w:sz w:val="22"/>
        </w:rPr>
        <w:t>Vendor consolidation continues to be a tailwind:</w:t>
      </w:r>
      <w:r>
        <w:rPr>
          <w:rFonts w:ascii="Calibri" w:hAnsi="Calibri"/>
          <w:color w:val="525866"/>
          <w:sz w:val="22"/>
        </w:rPr>
        <w:t xml:space="preserve"> SPGI noted customers are more rigorously evaluating AI budgets to prioritize solutions with positive ROI. </w:t>
      </w:r>
      <w:r>
        <w:rPr>
          <w:rFonts w:ascii="Calibri" w:hAnsi="Calibri"/>
          <w:b/>
          <w:i/>
          <w:color w:val="525866"/>
          <w:sz w:val="22"/>
        </w:rPr>
        <w:t>ICE read-through: Positive for ICE’s mission-critical data infrastructure; customers consolidating to trusted, high-ROI data providers.</w:t>
      </w:r>
    </w:p>
    <w:p>
      <w:pPr>
        <w:pStyle w:val="Heading3"/>
      </w:pPr>
      <w:r>
        <w:rPr>
          <w:rFonts w:ascii="Calibri" w:hAnsi="Calibri"/>
          <w:b/>
          <w:color w:val="3B4259"/>
          <w:sz w:val="24"/>
        </w:rPr>
        <w:t>Moody’s Corporation (MCO) — Q2 2026 Earnings Call (July 22, 2026)</w:t>
      </w:r>
    </w:p>
    <w:p>
      <w:r>
        <w:rPr>
          <w:rFonts w:ascii="Calibri" w:hAnsi="Calibri"/>
          <w:b/>
          <w:color w:val="525866"/>
          <w:sz w:val="22"/>
        </w:rPr>
        <w:t xml:space="preserve">Relevance to ICE: </w:t>
      </w:r>
      <w:r>
        <w:rPr>
          <w:rFonts w:ascii="Calibri" w:hAnsi="Calibri"/>
          <w:color w:val="525866"/>
          <w:sz w:val="22"/>
        </w:rPr>
        <w:t>MCO’s commentary on capital markets activity, fixed income issuance, and data analytics demand reads through to ICE’s FIDS segment and exchange volumes.</w:t>
      </w:r>
    </w:p>
    <w:p>
      <w:pPr>
        <w:pStyle w:val="ListBullet"/>
        <w:ind w:left="360" w:hanging="360"/>
      </w:pPr>
      <w:r>
        <w:rPr>
          <w:rFonts w:ascii="Calibri" w:hAnsi="Calibri"/>
          <w:b/>
          <w:color w:val="525866"/>
          <w:sz w:val="22"/>
        </w:rPr>
        <w:t>Rated $2T+ of debt for the second consecutive quarter; MIS transaction revenue +34%:</w:t>
      </w:r>
      <w:r>
        <w:rPr>
          <w:rFonts w:ascii="Calibri" w:hAnsi="Calibri"/>
          <w:color w:val="525866"/>
          <w:sz w:val="22"/>
        </w:rPr>
        <w:t xml:space="preserve"> Moody’s Investor Service rated more than $2 trillion of debt for the second consecutive quarter, reflecting “the rebound in market activity.” Global issuance powered by AI-related investment, private credit, digital finance, energy transition, and emerging markets. Issuance growth outlook upgraded to mid-single-digit percent for the full year. </w:t>
      </w:r>
      <w:r>
        <w:rPr>
          <w:rFonts w:ascii="Calibri" w:hAnsi="Calibri"/>
          <w:b/>
          <w:i/>
          <w:color w:val="30A46C"/>
          <w:sz w:val="22"/>
        </w:rPr>
        <w:t>ICE read-through: Strongly positive for ICE’s fixed income execution and FIDS data services; high issuance activity drives demand for ICE’s fixed income data and analytics.</w:t>
      </w:r>
    </w:p>
    <w:p>
      <w:pPr>
        <w:pStyle w:val="ListBullet"/>
        <w:ind w:left="360" w:hanging="360"/>
      </w:pPr>
      <w:r>
        <w:rPr>
          <w:rFonts w:ascii="Calibri" w:hAnsi="Calibri"/>
          <w:b/>
          <w:color w:val="525866"/>
          <w:sz w:val="22"/>
        </w:rPr>
        <w:t>Moody’s Analytics recurring revenue up ~9% YoY; trailing 12-month retention at 95%:</w:t>
      </w:r>
      <w:r>
        <w:rPr>
          <w:rFonts w:ascii="Calibri" w:hAnsi="Calibri"/>
          <w:color w:val="525866"/>
          <w:sz w:val="22"/>
        </w:rPr>
        <w:t xml:space="preserve"> MA’s annualized recurring revenue reached ~$3.7B, up nearly 9% YoY. High single-digit IRR growth outlook maintained for the full year. </w:t>
      </w:r>
      <w:r>
        <w:rPr>
          <w:rFonts w:ascii="Calibri" w:hAnsi="Calibri"/>
          <w:b/>
          <w:i/>
          <w:color w:val="525866"/>
          <w:sz w:val="22"/>
        </w:rPr>
        <w:t>ICE read-through: Positive for ICE’s FIDS recurring revenue; confirms sector-wide data subscription demand remains robust.</w:t>
      </w:r>
    </w:p>
    <w:p>
      <w:pPr>
        <w:pStyle w:val="ListBullet"/>
        <w:ind w:left="360" w:hanging="360"/>
      </w:pPr>
      <w:r>
        <w:rPr>
          <w:rFonts w:ascii="Calibri" w:hAnsi="Calibri"/>
          <w:b/>
          <w:color w:val="525866"/>
          <w:sz w:val="22"/>
        </w:rPr>
        <w:t>AI-powered solutions driving 50% reduction in false positive alerts; 100+ MCP connections in use:</w:t>
      </w:r>
      <w:r>
        <w:rPr>
          <w:rFonts w:ascii="Calibri" w:hAnsi="Calibri"/>
          <w:color w:val="525866"/>
          <w:sz w:val="22"/>
        </w:rPr>
        <w:t xml:space="preserve"> MCO has more than 100 MCP and smart API connections being used and trialed by customers. AI adoption across the enterprise driving cost efficiencies. </w:t>
      </w:r>
      <w:r>
        <w:rPr>
          <w:rFonts w:ascii="Calibri" w:hAnsi="Calibri"/>
          <w:b/>
          <w:i/>
          <w:color w:val="525866"/>
          <w:sz w:val="22"/>
        </w:rPr>
        <w:t>ICE read-through: Validates ICE’s MCP server strategy for AI data distribution; the sector is converging on MCP as the standard for AI-native data access.</w:t>
      </w:r>
    </w:p>
    <w:p>
      <w:pPr>
        <w:pStyle w:val="ListBullet"/>
        <w:ind w:left="360" w:hanging="360"/>
      </w:pPr>
      <w:r>
        <w:rPr>
          <w:rFonts w:ascii="Calibri" w:hAnsi="Calibri"/>
          <w:b/>
          <w:color w:val="525866"/>
          <w:sz w:val="22"/>
        </w:rPr>
        <w:t>Private credit as a major funding mechanism; NAIC regulatory modernization:</w:t>
      </w:r>
      <w:r>
        <w:rPr>
          <w:rFonts w:ascii="Calibri" w:hAnsi="Calibri"/>
          <w:color w:val="525866"/>
          <w:sz w:val="22"/>
        </w:rPr>
        <w:t xml:space="preserve"> MCO highlighted private credit as a key funding driver and noted NAIC is overhauling its investment framework to address the shift toward complex structured private assets. </w:t>
      </w:r>
      <w:r>
        <w:rPr>
          <w:rFonts w:ascii="Calibri" w:hAnsi="Calibri"/>
          <w:b/>
          <w:i/>
          <w:color w:val="525866"/>
          <w:sz w:val="22"/>
        </w:rPr>
        <w:t>ICE read-through: Directly validates ICE’s Private Credit Intelligence launch with Apollo; regulatory modernization creates demand for ICE’s data infrastructure.</w:t>
      </w:r>
    </w:p>
    <w:p>
      <w:pPr>
        <w:pStyle w:val="ListBullet"/>
        <w:ind w:left="360" w:hanging="360"/>
      </w:pPr>
      <w:r>
        <w:rPr>
          <w:rFonts w:ascii="Calibri" w:hAnsi="Calibri"/>
          <w:b/>
          <w:color w:val="525866"/>
          <w:sz w:val="22"/>
        </w:rPr>
        <w:t>Tokenization — MCO rated BlackRock’s tokenized money market fund ($2.6B market cap):</w:t>
      </w:r>
      <w:r>
        <w:rPr>
          <w:rFonts w:ascii="Calibri" w:hAnsi="Calibri"/>
          <w:color w:val="525866"/>
          <w:sz w:val="22"/>
        </w:rPr>
        <w:t xml:space="preserve"> MCO was named best digital asset ratings and analytics provider and was the first rating agency to deliver ratings on-chain. Extended token integration engine to Solana via Alpha Ledger. </w:t>
      </w:r>
      <w:r>
        <w:rPr>
          <w:rFonts w:ascii="Calibri" w:hAnsi="Calibri"/>
          <w:b/>
          <w:i/>
          <w:color w:val="525866"/>
          <w:sz w:val="22"/>
        </w:rPr>
        <w:t>ICE read-through: Validates ICE’s tokenization strategy; the ecosystem is maturing with major institutions (BlackRock, MCO) now actively participating.</w:t>
      </w:r>
    </w:p>
    <w:p>
      <w:pPr>
        <w:pStyle w:val="ListBullet"/>
        <w:ind w:left="360" w:hanging="360"/>
      </w:pPr>
      <w:r>
        <w:rPr>
          <w:rFonts w:ascii="Calibri" w:hAnsi="Calibri"/>
          <w:b/>
          <w:color w:val="525866"/>
          <w:sz w:val="22"/>
        </w:rPr>
        <w:t>Early April volatility proved resilient; headline risk remains:</w:t>
      </w:r>
      <w:r>
        <w:rPr>
          <w:rFonts w:ascii="Calibri" w:hAnsi="Calibri"/>
          <w:color w:val="525866"/>
          <w:sz w:val="22"/>
        </w:rPr>
        <w:t xml:space="preserve"> Markets proved resilient through early April volatility supported by AI-related financing and infrastructure investment. MCO flagged headline risk that “can trigger risk-off windows,” citing the beginning of July in the high yield market. </w:t>
      </w:r>
      <w:r>
        <w:rPr>
          <w:rFonts w:ascii="Calibri" w:hAnsi="Calibri"/>
          <w:b/>
          <w:i/>
          <w:color w:val="525866"/>
          <w:sz w:val="22"/>
        </w:rPr>
        <w:t>ICE read-through: Constructive — market resilience supports sustained exchange volumes; headline risk is a two-way wildcard for ICE’s volatility-driven revenues.</w:t>
      </w:r>
    </w:p>
    <w:p>
      <w:pPr>
        <w:pStyle w:val="Heading3"/>
      </w:pPr>
      <w:r>
        <w:rPr>
          <w:rFonts w:ascii="Calibri" w:hAnsi="Calibri"/>
          <w:b/>
          <w:color w:val="3B4259"/>
          <w:sz w:val="24"/>
        </w:rPr>
        <w:t>MSCI Inc. (MSCI) — Q2 2026 Earnings Call (July 21, 2026)</w:t>
      </w:r>
    </w:p>
    <w:p>
      <w:r>
        <w:rPr>
          <w:rFonts w:ascii="Calibri" w:hAnsi="Calibri"/>
          <w:b/>
          <w:color w:val="525866"/>
          <w:sz w:val="22"/>
        </w:rPr>
        <w:t xml:space="preserve">Relevance to ICE: </w:t>
      </w:r>
      <w:r>
        <w:rPr>
          <w:rFonts w:ascii="Calibri" w:hAnsi="Calibri"/>
          <w:color w:val="525866"/>
          <w:sz w:val="22"/>
        </w:rPr>
        <w:t>MSCI’s index and ETF commentary reads through to ICE’s exchange data services (MSCI ADV on ICE was +21% YoY in June); MSCI’s analytics and data subscription trends read through to ICE’s FIDS segment.</w:t>
      </w:r>
    </w:p>
    <w:p>
      <w:pPr>
        <w:pStyle w:val="ListBullet"/>
        <w:ind w:left="360" w:hanging="360"/>
      </w:pPr>
      <w:r>
        <w:rPr>
          <w:rFonts w:ascii="Calibri" w:hAnsi="Calibri"/>
          <w:b/>
          <w:color w:val="525866"/>
          <w:sz w:val="22"/>
        </w:rPr>
        <w:t>Record ETF AUM linked to MSCI indices; total run rate growth of 12%:</w:t>
      </w:r>
      <w:r>
        <w:rPr>
          <w:rFonts w:ascii="Calibri" w:hAnsi="Calibri"/>
          <w:color w:val="525866"/>
          <w:sz w:val="22"/>
        </w:rPr>
        <w:t xml:space="preserve"> MSCI achieved its best-ever asset-based fee run rate with record ETF and non-ETF AUM. Total ETF AUM linked to MSCI indices grew by more than $1 trillion, reaching $2.8T+. Close to $40B of cash inflows in Q2. </w:t>
      </w:r>
      <w:r>
        <w:rPr>
          <w:rFonts w:ascii="Calibri" w:hAnsi="Calibri"/>
          <w:b/>
          <w:i/>
          <w:color w:val="30A46C"/>
          <w:sz w:val="22"/>
        </w:rPr>
        <w:t>ICE read-through: Directly positive for ICE — MSCI ADV on ICE was +21% YoY in June and +19% YoY for Q2; record AUM drives higher exchange-traded derivatives volumes on ICE’s platform.</w:t>
      </w:r>
    </w:p>
    <w:p>
      <w:pPr>
        <w:pStyle w:val="ListBullet"/>
        <w:ind w:left="360" w:hanging="360"/>
      </w:pPr>
      <w:r>
        <w:rPr>
          <w:rFonts w:ascii="Calibri" w:hAnsi="Calibri"/>
          <w:b/>
          <w:color w:val="525866"/>
          <w:sz w:val="22"/>
        </w:rPr>
        <w:t>Organic subscription growth rate over 8%; retention rate over 95%:</w:t>
      </w:r>
      <w:r>
        <w:rPr>
          <w:rFonts w:ascii="Calibri" w:hAnsi="Calibri"/>
          <w:color w:val="525866"/>
          <w:sz w:val="22"/>
        </w:rPr>
        <w:t xml:space="preserve"> MSCI delivered 8%+ organic subscription growth with 95%+ retention. Index subscription run rate growth accelerated to over 11%. Hedge fund subscription run rate growth of 15%, with best quarter on record. </w:t>
      </w:r>
      <w:r>
        <w:rPr>
          <w:rFonts w:ascii="Calibri" w:hAnsi="Calibri"/>
          <w:b/>
          <w:i/>
          <w:color w:val="525866"/>
          <w:sz w:val="22"/>
        </w:rPr>
        <w:t>ICE read-through: Positive for ICE’s exchange data services recurring revenue; MSCI’s index franchise growth drives demand for ICE’s data and connectivity services.</w:t>
      </w:r>
    </w:p>
    <w:p>
      <w:pPr>
        <w:pStyle w:val="ListBullet"/>
        <w:ind w:left="360" w:hanging="360"/>
      </w:pPr>
      <w:r>
        <w:rPr>
          <w:rFonts w:ascii="Calibri" w:hAnsi="Calibri"/>
          <w:b/>
          <w:color w:val="525866"/>
          <w:sz w:val="22"/>
        </w:rPr>
        <w:t>Strait of Hormuz closure driving demand for energy-related data sets:</w:t>
      </w:r>
      <w:r>
        <w:rPr>
          <w:rFonts w:ascii="Calibri" w:hAnsi="Calibri"/>
          <w:color w:val="525866"/>
          <w:sz w:val="22"/>
        </w:rPr>
        <w:t xml:space="preserve"> MSCI noted clients are seeking data sets to understand electric utilities in East Asia that depend on gas from Qatar or oil from Kuwait, to assess risk and opportunity associated with those companies’ shares and debt. </w:t>
      </w:r>
      <w:r>
        <w:rPr>
          <w:rFonts w:ascii="Calibri" w:hAnsi="Calibri"/>
          <w:b/>
          <w:i/>
          <w:color w:val="525866"/>
          <w:sz w:val="22"/>
        </w:rPr>
        <w:t>ICE read-through: Validates the structural demand for ICE’s energy data and analytics; geopolitical events are driving institutional demand for energy market intelligence.</w:t>
      </w:r>
    </w:p>
    <w:p>
      <w:pPr>
        <w:pStyle w:val="ListBullet"/>
        <w:ind w:left="360" w:hanging="360"/>
      </w:pPr>
      <w:r>
        <w:rPr>
          <w:rFonts w:ascii="Calibri" w:hAnsi="Calibri"/>
          <w:b/>
          <w:color w:val="525866"/>
          <w:sz w:val="22"/>
        </w:rPr>
        <w:t>AI enabling faster index production and customization at scale; 1,000+ clients using Index AI Insights:</w:t>
      </w:r>
      <w:r>
        <w:rPr>
          <w:rFonts w:ascii="Calibri" w:hAnsi="Calibri"/>
          <w:color w:val="525866"/>
          <w:sz w:val="22"/>
        </w:rPr>
        <w:t xml:space="preserve"> MSCI launched Index AI Insights in February and already has 1,000+ clients using it. Hundreds of companies accessing MSCI solutions through preferred AI models. First training license signed allowing a client to train a model using MSCI content. </w:t>
      </w:r>
      <w:r>
        <w:rPr>
          <w:rFonts w:ascii="Calibri" w:hAnsi="Calibri"/>
          <w:b/>
          <w:i/>
          <w:color w:val="525866"/>
          <w:sz w:val="22"/>
        </w:rPr>
        <w:t>ICE read-through: Validates ICE’s AI data distribution strategy (MCP servers, Polymarket Signals); the sector is converging on AI-native data access as a growth driver.</w:t>
      </w:r>
    </w:p>
    <w:p>
      <w:pPr>
        <w:pStyle w:val="ListBullet"/>
        <w:ind w:left="360" w:hanging="360"/>
      </w:pPr>
      <w:r>
        <w:rPr>
          <w:rFonts w:ascii="Calibri" w:hAnsi="Calibri"/>
          <w:b/>
          <w:color w:val="525866"/>
          <w:sz w:val="22"/>
        </w:rPr>
        <w:t>Private assets subscription run rate growth accelerated to over 16%; 57% recurring net new sales growth:</w:t>
      </w:r>
      <w:r>
        <w:rPr>
          <w:rFonts w:ascii="Calibri" w:hAnsi="Calibri"/>
          <w:color w:val="525866"/>
          <w:sz w:val="22"/>
        </w:rPr>
        <w:t xml:space="preserve"> MSCI’s private assets segment is accelerating with pension funds and sovereign wealth funds embracing total portfolio solutions. </w:t>
      </w:r>
      <w:r>
        <w:rPr>
          <w:rFonts w:ascii="Calibri" w:hAnsi="Calibri"/>
          <w:b/>
          <w:i/>
          <w:color w:val="525866"/>
          <w:sz w:val="22"/>
        </w:rPr>
        <w:t>ICE read-through: Validates ICE’s Private Credit Intelligence launch; private markets data is a high-growth area across the sector.</w:t>
      </w:r>
    </w:p>
    <w:p>
      <w:pPr>
        <w:pStyle w:val="ListBullet"/>
        <w:ind w:left="360" w:hanging="360"/>
      </w:pPr>
      <w:r>
        <w:rPr>
          <w:rFonts w:ascii="Calibri" w:hAnsi="Calibri"/>
          <w:b/>
          <w:color w:val="525866"/>
          <w:sz w:val="22"/>
        </w:rPr>
        <w:t>MSCI indices increasingly embedded in core trading and liquidity infrastructure:</w:t>
      </w:r>
      <w:r>
        <w:rPr>
          <w:rFonts w:ascii="Calibri" w:hAnsi="Calibri"/>
          <w:color w:val="525866"/>
          <w:sz w:val="22"/>
        </w:rPr>
        <w:t xml:space="preserve"> MSCI noted its indices are “increasingly embedded in the core trading and liquidity infrastructure used by active and passive investors alike.” 30%+ of ETF AUM linked to MSCI indices is non-market-cap (factors, ESG, climate). </w:t>
      </w:r>
      <w:r>
        <w:rPr>
          <w:rFonts w:ascii="Calibri" w:hAnsi="Calibri"/>
          <w:b/>
          <w:i/>
          <w:color w:val="525866"/>
          <w:sz w:val="22"/>
        </w:rPr>
        <w:t>ICE read-through: Positive for ICE’s exchange data services; as MSCI’s index franchise grows, ICE’s data and connectivity revenues tied to MSCI products grow commensurately.</w:t>
      </w:r>
    </w:p>
    <w:p>
      <w:r>
        <w:rPr>
          <w:rFonts w:ascii="Calibri" w:hAnsi="Calibri"/>
          <w:b/>
          <w:color w:val="525866"/>
          <w:sz w:val="22"/>
        </w:rPr>
        <w:t>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ICE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CME Group</w:t>
            </w:r>
          </w:p>
        </w:tc>
        <w:tc>
          <w:tcPr>
            <w:tcW w:type="dxa" w:w="2160"/>
          </w:tcPr>
          <w:p>
            <w:r>
              <w:rPr>
                <w:rFonts w:ascii="Calibri" w:hAnsi="Calibri"/>
                <w:sz w:val="22"/>
              </w:rPr>
              <w:t>Jul 22, 2026</w:t>
            </w:r>
          </w:p>
        </w:tc>
        <w:tc>
          <w:tcPr>
            <w:tcW w:type="dxa" w:w="2160"/>
          </w:tcPr>
          <w:p>
            <w:r>
              <w:rPr>
                <w:rFonts w:ascii="Calibri" w:hAnsi="Calibri"/>
                <w:sz w:val="22"/>
              </w:rPr>
              <w:t>Q2 ADV 2nd-highest ever; OI +8% YoY; record market data revenue +20%; perps viewed as swaps (validates ICE’s regulatory framing)</w:t>
            </w:r>
          </w:p>
        </w:tc>
        <w:tc>
          <w:tcPr>
            <w:tcW w:type="dxa" w:w="2160"/>
          </w:tcPr>
          <w:p>
            <w:r>
              <w:rPr>
                <w:rFonts w:ascii="Calibri" w:hAnsi="Calibri"/>
                <w:b/>
                <w:color w:val="30A46C"/>
                <w:sz w:val="22"/>
              </w:rPr>
              <w:t>Positive</w:t>
            </w:r>
          </w:p>
        </w:tc>
      </w:tr>
      <w:tr>
        <w:tc>
          <w:tcPr>
            <w:tcW w:type="dxa" w:w="2160"/>
          </w:tcPr>
          <w:p>
            <w:r>
              <w:rPr>
                <w:rFonts w:ascii="Calibri" w:hAnsi="Calibri"/>
                <w:sz w:val="22"/>
              </w:rPr>
              <w:t>S&amp;P Global</w:t>
            </w:r>
          </w:p>
        </w:tc>
        <w:tc>
          <w:tcPr>
            <w:tcW w:type="dxa" w:w="2160"/>
          </w:tcPr>
          <w:p>
            <w:r>
              <w:rPr>
                <w:rFonts w:ascii="Calibri" w:hAnsi="Calibri"/>
                <w:sz w:val="22"/>
              </w:rPr>
              <w:t>Jul 28, 2026</w:t>
            </w:r>
          </w:p>
        </w:tc>
        <w:tc>
          <w:tcPr>
            <w:tcW w:type="dxa" w:w="2160"/>
          </w:tcPr>
          <w:p>
            <w:r>
              <w:rPr>
                <w:rFonts w:ascii="Calibri" w:hAnsi="Calibri"/>
                <w:sz w:val="22"/>
              </w:rPr>
              <w:t>ETD revenue +22%; extreme energy volatility dampened GTS volumes (key risk); recurring revenue +8%; AI data monetization accelerating</w:t>
            </w:r>
          </w:p>
        </w:tc>
        <w:tc>
          <w:tcPr>
            <w:tcW w:type="dxa" w:w="2160"/>
          </w:tcPr>
          <w:p>
            <w:r>
              <w:rPr>
                <w:rFonts w:ascii="Calibri" w:hAnsi="Calibri"/>
                <w:b/>
                <w:sz w:val="22"/>
              </w:rPr>
              <w:t>Mixed</w:t>
            </w:r>
          </w:p>
        </w:tc>
      </w:tr>
      <w:tr>
        <w:tc>
          <w:tcPr>
            <w:tcW w:type="dxa" w:w="2160"/>
          </w:tcPr>
          <w:p>
            <w:r>
              <w:rPr>
                <w:rFonts w:ascii="Calibri" w:hAnsi="Calibri"/>
                <w:sz w:val="22"/>
              </w:rPr>
              <w:t>Moody’s Corp.</w:t>
            </w:r>
          </w:p>
        </w:tc>
        <w:tc>
          <w:tcPr>
            <w:tcW w:type="dxa" w:w="2160"/>
          </w:tcPr>
          <w:p>
            <w:r>
              <w:rPr>
                <w:rFonts w:ascii="Calibri" w:hAnsi="Calibri"/>
                <w:sz w:val="22"/>
              </w:rPr>
              <w:t>Jul 22, 2026</w:t>
            </w:r>
          </w:p>
        </w:tc>
        <w:tc>
          <w:tcPr>
            <w:tcW w:type="dxa" w:w="2160"/>
          </w:tcPr>
          <w:p>
            <w:r>
              <w:rPr>
                <w:rFonts w:ascii="Calibri" w:hAnsi="Calibri"/>
                <w:sz w:val="22"/>
              </w:rPr>
              <w:t>$2T+ debt rated for 2nd consecutive quarter; MA recurring revenue +9%; private credit demand validates ICE’s Apollo partnership; tokenization ecosystem maturing</w:t>
            </w:r>
          </w:p>
        </w:tc>
        <w:tc>
          <w:tcPr>
            <w:tcW w:type="dxa" w:w="2160"/>
          </w:tcPr>
          <w:p>
            <w:r>
              <w:rPr>
                <w:rFonts w:ascii="Calibri" w:hAnsi="Calibri"/>
                <w:b/>
                <w:color w:val="30A46C"/>
                <w:sz w:val="22"/>
              </w:rPr>
              <w:t>Positive</w:t>
            </w:r>
          </w:p>
        </w:tc>
      </w:tr>
      <w:tr>
        <w:tc>
          <w:tcPr>
            <w:tcW w:type="dxa" w:w="2160"/>
          </w:tcPr>
          <w:p>
            <w:r>
              <w:rPr>
                <w:rFonts w:ascii="Calibri" w:hAnsi="Calibri"/>
                <w:sz w:val="22"/>
              </w:rPr>
              <w:t>MSCI Inc.</w:t>
            </w:r>
          </w:p>
        </w:tc>
        <w:tc>
          <w:tcPr>
            <w:tcW w:type="dxa" w:w="2160"/>
          </w:tcPr>
          <w:p>
            <w:r>
              <w:rPr>
                <w:rFonts w:ascii="Calibri" w:hAnsi="Calibri"/>
                <w:sz w:val="22"/>
              </w:rPr>
              <w:t>Jul 21, 2026</w:t>
            </w:r>
          </w:p>
        </w:tc>
        <w:tc>
          <w:tcPr>
            <w:tcW w:type="dxa" w:w="2160"/>
          </w:tcPr>
          <w:p>
            <w:r>
              <w:rPr>
                <w:rFonts w:ascii="Calibri" w:hAnsi="Calibri"/>
                <w:sz w:val="22"/>
              </w:rPr>
              <w:t>Record ETF AUM ($2.8T+); MSCI ADV on ICE +19% in Q2; total run rate +12%; private assets +16%; AI data access accelerating</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discretionary buys or unusual sales stand out — the activity since Q1 earnings is dominated by routine 10b5-1 planned sales and standard director equity award grants. The CFO’s small planned sale (2,490 shares) and the NYSE Group President’s option exercise/sale are both 10b5-1 plan transactions. </w:t>
      </w:r>
      <w:r>
        <w:rPr>
          <w:rFonts w:ascii="Calibri" w:hAnsi="Calibri"/>
          <w:b/>
          <w:color w:val="525866"/>
          <w:sz w:val="22"/>
        </w:rPr>
        <w:t>No clustered open-market buys or large discretionary sales; insider activity is unremarkable.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Martin, Lynn C.</w:t>
            </w:r>
          </w:p>
        </w:tc>
        <w:tc>
          <w:tcPr>
            <w:tcW w:type="dxa" w:w="1440"/>
          </w:tcPr>
          <w:p>
            <w:r>
              <w:rPr>
                <w:rFonts w:ascii="Calibri" w:hAnsi="Calibri"/>
                <w:sz w:val="22"/>
              </w:rPr>
              <w:t>President, NYSE Group</w:t>
            </w:r>
          </w:p>
        </w:tc>
        <w:tc>
          <w:tcPr>
            <w:tcW w:type="dxa" w:w="1440"/>
          </w:tcPr>
          <w:p>
            <w:r>
              <w:rPr>
                <w:rFonts w:ascii="Calibri" w:hAnsi="Calibri"/>
                <w:sz w:val="22"/>
              </w:rPr>
              <w:t>10b5-1 Planned Sale (Option Exercise + Sale)</w:t>
            </w:r>
          </w:p>
        </w:tc>
        <w:tc>
          <w:tcPr>
            <w:tcW w:type="dxa" w:w="1440"/>
          </w:tcPr>
          <w:p>
            <w:r>
              <w:rPr>
                <w:rFonts w:ascii="Calibri" w:hAnsi="Calibri"/>
                <w:sz w:val="22"/>
              </w:rPr>
              <w:t>15,882</w:t>
            </w:r>
          </w:p>
        </w:tc>
        <w:tc>
          <w:tcPr>
            <w:tcW w:type="dxa" w:w="1440"/>
          </w:tcPr>
          <w:p>
            <w:r>
              <w:rPr>
                <w:rFonts w:ascii="Calibri" w:hAnsi="Calibri"/>
                <w:sz w:val="22"/>
              </w:rPr>
              <w:t>Jul 16, 2026</w:t>
            </w:r>
          </w:p>
        </w:tc>
        <w:tc>
          <w:tcPr>
            <w:tcW w:type="dxa" w:w="1440"/>
          </w:tcPr>
          <w:p>
            <w:r>
              <w:rPr>
                <w:rFonts w:ascii="Calibri" w:hAnsi="Calibri"/>
                <w:sz w:val="22"/>
              </w:rPr>
              <w:t>10b5-1 plan; option exercise (M code) and simultaneous sale (S code); routine planned transaction</w:t>
            </w:r>
          </w:p>
        </w:tc>
      </w:tr>
      <w:tr>
        <w:tc>
          <w:tcPr>
            <w:tcW w:type="dxa" w:w="1440"/>
          </w:tcPr>
          <w:p>
            <w:r>
              <w:rPr>
                <w:rFonts w:ascii="Calibri" w:hAnsi="Calibri"/>
                <w:sz w:val="22"/>
              </w:rPr>
              <w:t>Hague, William Jefferson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1,333</w:t>
            </w:r>
          </w:p>
        </w:tc>
        <w:tc>
          <w:tcPr>
            <w:tcW w:type="dxa" w:w="1440"/>
          </w:tcPr>
          <w:p>
            <w:r>
              <w:rPr>
                <w:rFonts w:ascii="Calibri" w:hAnsi="Calibri"/>
                <w:sz w:val="22"/>
              </w:rPr>
              <w:t>Jun 12, 2026</w:t>
            </w:r>
          </w:p>
        </w:tc>
        <w:tc>
          <w:tcPr>
            <w:tcW w:type="dxa" w:w="1440"/>
          </w:tcPr>
          <w:p>
            <w:r>
              <w:rPr>
                <w:rFonts w:ascii="Calibri" w:hAnsi="Calibri"/>
                <w:sz w:val="22"/>
              </w:rPr>
              <w:t>10b5-1 plan; small planned sale; routine</w:t>
            </w:r>
          </w:p>
        </w:tc>
      </w:tr>
      <w:tr>
        <w:tc>
          <w:tcPr>
            <w:tcW w:type="dxa" w:w="1440"/>
          </w:tcPr>
          <w:p>
            <w:r>
              <w:rPr>
                <w:rFonts w:ascii="Calibri" w:hAnsi="Calibri"/>
                <w:sz w:val="22"/>
              </w:rPr>
              <w:t>Hague, William Jefferson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91</w:t>
            </w:r>
          </w:p>
        </w:tc>
        <w:tc>
          <w:tcPr>
            <w:tcW w:type="dxa" w:w="1440"/>
          </w:tcPr>
          <w:p>
            <w:r>
              <w:rPr>
                <w:rFonts w:ascii="Calibri" w:hAnsi="Calibri"/>
                <w:sz w:val="22"/>
              </w:rPr>
              <w:t>Jun 9, 2026</w:t>
            </w:r>
          </w:p>
        </w:tc>
        <w:tc>
          <w:tcPr>
            <w:tcW w:type="dxa" w:w="1440"/>
          </w:tcPr>
          <w:p>
            <w:r>
              <w:rPr>
                <w:rFonts w:ascii="Calibri" w:hAnsi="Calibri"/>
                <w:sz w:val="22"/>
              </w:rPr>
              <w:t>10b5-1 plan; very small planned sale; routine</w:t>
            </w:r>
          </w:p>
        </w:tc>
      </w:tr>
      <w:tr>
        <w:tc>
          <w:tcPr>
            <w:tcW w:type="dxa" w:w="1440"/>
          </w:tcPr>
          <w:p>
            <w:r>
              <w:rPr>
                <w:rFonts w:ascii="Calibri" w:hAnsi="Calibri"/>
                <w:sz w:val="22"/>
              </w:rPr>
              <w:t>Surdykowski, Andrew J.</w:t>
            </w:r>
          </w:p>
        </w:tc>
        <w:tc>
          <w:tcPr>
            <w:tcW w:type="dxa" w:w="1440"/>
          </w:tcPr>
          <w:p>
            <w:r>
              <w:rPr>
                <w:rFonts w:ascii="Calibri" w:hAnsi="Calibri"/>
                <w:sz w:val="22"/>
              </w:rPr>
              <w:t>General Counsel</w:t>
            </w:r>
          </w:p>
        </w:tc>
        <w:tc>
          <w:tcPr>
            <w:tcW w:type="dxa" w:w="1440"/>
          </w:tcPr>
          <w:p>
            <w:r>
              <w:rPr>
                <w:rFonts w:ascii="Calibri" w:hAnsi="Calibri"/>
                <w:sz w:val="22"/>
              </w:rPr>
              <w:t>Option Exercise (Acquisition)</w:t>
            </w:r>
          </w:p>
        </w:tc>
        <w:tc>
          <w:tcPr>
            <w:tcW w:type="dxa" w:w="1440"/>
          </w:tcPr>
          <w:p>
            <w:r>
              <w:rPr>
                <w:rFonts w:ascii="Calibri" w:hAnsi="Calibri"/>
                <w:sz w:val="22"/>
              </w:rPr>
              <w:t>2,065</w:t>
            </w:r>
          </w:p>
        </w:tc>
        <w:tc>
          <w:tcPr>
            <w:tcW w:type="dxa" w:w="1440"/>
          </w:tcPr>
          <w:p>
            <w:r>
              <w:rPr>
                <w:rFonts w:ascii="Calibri" w:hAnsi="Calibri"/>
                <w:sz w:val="22"/>
              </w:rPr>
              <w:t>May 26, 2026</w:t>
            </w:r>
          </w:p>
        </w:tc>
        <w:tc>
          <w:tcPr>
            <w:tcW w:type="dxa" w:w="1440"/>
          </w:tcPr>
          <w:p>
            <w:r>
              <w:rPr>
                <w:rFonts w:ascii="Calibri" w:hAnsi="Calibri"/>
                <w:sz w:val="22"/>
              </w:rPr>
              <w:t>10b5-1 plan; option exercise (M code); routine</w:t>
            </w:r>
          </w:p>
        </w:tc>
      </w:tr>
      <w:tr>
        <w:tc>
          <w:tcPr>
            <w:tcW w:type="dxa" w:w="1440"/>
          </w:tcPr>
          <w:p>
            <w:r>
              <w:rPr>
                <w:rFonts w:ascii="Calibri" w:hAnsi="Calibri"/>
                <w:sz w:val="22"/>
              </w:rPr>
              <w:t>Bowen, Sharon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667</w:t>
            </w:r>
          </w:p>
        </w:tc>
        <w:tc>
          <w:tcPr>
            <w:tcW w:type="dxa" w:w="1440"/>
          </w:tcPr>
          <w:p>
            <w:r>
              <w:rPr>
                <w:rFonts w:ascii="Calibri" w:hAnsi="Calibri"/>
                <w:sz w:val="22"/>
              </w:rPr>
              <w:t>May 22, 2026</w:t>
            </w:r>
          </w:p>
        </w:tc>
        <w:tc>
          <w:tcPr>
            <w:tcW w:type="dxa" w:w="1440"/>
          </w:tcPr>
          <w:p>
            <w:r>
              <w:rPr>
                <w:rFonts w:ascii="Calibri" w:hAnsi="Calibri"/>
                <w:sz w:val="22"/>
              </w:rPr>
              <w:t>10b5-1 plan; follows director equity award grant on May 18</w:t>
            </w:r>
          </w:p>
        </w:tc>
      </w:tr>
      <w:tr>
        <w:tc>
          <w:tcPr>
            <w:tcW w:type="dxa" w:w="1440"/>
          </w:tcPr>
          <w:p>
            <w:r>
              <w:rPr>
                <w:rFonts w:ascii="Calibri" w:hAnsi="Calibri"/>
                <w:sz w:val="22"/>
              </w:rPr>
              <w:t>Gardiner, Warren</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2,490</w:t>
            </w:r>
          </w:p>
        </w:tc>
        <w:tc>
          <w:tcPr>
            <w:tcW w:type="dxa" w:w="1440"/>
          </w:tcPr>
          <w:p>
            <w:r>
              <w:rPr>
                <w:rFonts w:ascii="Calibri" w:hAnsi="Calibri"/>
                <w:sz w:val="22"/>
              </w:rPr>
              <w:t>May 19, 2026</w:t>
            </w:r>
          </w:p>
        </w:tc>
        <w:tc>
          <w:tcPr>
            <w:tcW w:type="dxa" w:w="1440"/>
          </w:tcPr>
          <w:p>
            <w:r>
              <w:rPr>
                <w:rFonts w:ascii="Calibri" w:hAnsi="Calibri"/>
                <w:sz w:val="22"/>
              </w:rPr>
              <w:t>10b5-1 plan; small planned sale by CFO; routine</w:t>
            </w:r>
          </w:p>
        </w:tc>
      </w:tr>
      <w:tr>
        <w:tc>
          <w:tcPr>
            <w:tcW w:type="dxa" w:w="1440"/>
          </w:tcPr>
          <w:p>
            <w:r>
              <w:rPr>
                <w:rFonts w:ascii="Calibri" w:hAnsi="Calibri"/>
                <w:sz w:val="22"/>
              </w:rPr>
              <w:t>Kapani, Mayur</w:t>
            </w:r>
          </w:p>
        </w:tc>
        <w:tc>
          <w:tcPr>
            <w:tcW w:type="dxa" w:w="1440"/>
          </w:tcPr>
          <w:p>
            <w:r>
              <w:rPr>
                <w:rFonts w:ascii="Calibri" w:hAnsi="Calibri"/>
                <w:sz w:val="22"/>
              </w:rPr>
              <w:t>Chief Technology Officer</w:t>
            </w:r>
          </w:p>
        </w:tc>
        <w:tc>
          <w:tcPr>
            <w:tcW w:type="dxa" w:w="1440"/>
          </w:tcPr>
          <w:p>
            <w:r>
              <w:rPr>
                <w:rFonts w:ascii="Calibri" w:hAnsi="Calibri"/>
                <w:sz w:val="22"/>
              </w:rPr>
              <w:t>Option Exercise (Acquisition)</w:t>
            </w:r>
          </w:p>
        </w:tc>
        <w:tc>
          <w:tcPr>
            <w:tcW w:type="dxa" w:w="1440"/>
          </w:tcPr>
          <w:p>
            <w:r>
              <w:rPr>
                <w:rFonts w:ascii="Calibri" w:hAnsi="Calibri"/>
                <w:sz w:val="22"/>
              </w:rPr>
              <w:t>4,271</w:t>
            </w:r>
          </w:p>
        </w:tc>
        <w:tc>
          <w:tcPr>
            <w:tcW w:type="dxa" w:w="1440"/>
          </w:tcPr>
          <w:p>
            <w:r>
              <w:rPr>
                <w:rFonts w:ascii="Calibri" w:hAnsi="Calibri"/>
                <w:sz w:val="22"/>
              </w:rPr>
              <w:t>May 14, 2026</w:t>
            </w:r>
          </w:p>
        </w:tc>
        <w:tc>
          <w:tcPr>
            <w:tcW w:type="dxa" w:w="1440"/>
          </w:tcPr>
          <w:p>
            <w:r>
              <w:rPr>
                <w:rFonts w:ascii="Calibri" w:hAnsi="Calibri"/>
                <w:sz w:val="22"/>
              </w:rPr>
              <w:t>10b5-1 plan; option exercise (M code); routine</w:t>
            </w:r>
          </w:p>
        </w:tc>
      </w:tr>
      <w:tr>
        <w:tc>
          <w:tcPr>
            <w:tcW w:type="dxa" w:w="1440"/>
          </w:tcPr>
          <w:p>
            <w:r>
              <w:rPr>
                <w:rFonts w:ascii="Calibri" w:hAnsi="Calibri"/>
                <w:sz w:val="22"/>
              </w:rPr>
              <w:t>Multiple Directors (Bowen, Cooper, Farooqui, Hague, Hill, Mulhern, Noonan, Pinto, Silver, Tirinnanzi)</w:t>
            </w:r>
          </w:p>
        </w:tc>
        <w:tc>
          <w:tcPr>
            <w:tcW w:type="dxa" w:w="1440"/>
          </w:tcPr>
          <w:p>
            <w:r>
              <w:rPr>
                <w:rFonts w:ascii="Calibri" w:hAnsi="Calibri"/>
                <w:sz w:val="22"/>
              </w:rPr>
              <w:t>Directors (10 individuals)</w:t>
            </w:r>
          </w:p>
        </w:tc>
        <w:tc>
          <w:tcPr>
            <w:tcW w:type="dxa" w:w="1440"/>
          </w:tcPr>
          <w:p>
            <w:r>
              <w:rPr>
                <w:rFonts w:ascii="Calibri" w:hAnsi="Calibri"/>
                <w:sz w:val="22"/>
              </w:rPr>
              <w:t>Equity Award Grant (Acquisition)</w:t>
            </w:r>
          </w:p>
        </w:tc>
        <w:tc>
          <w:tcPr>
            <w:tcW w:type="dxa" w:w="1440"/>
          </w:tcPr>
          <w:p>
            <w:r>
              <w:rPr>
                <w:rFonts w:ascii="Calibri" w:hAnsi="Calibri"/>
                <w:sz w:val="22"/>
              </w:rPr>
              <w:t>1,538–1,698 each</w:t>
            </w:r>
          </w:p>
        </w:tc>
        <w:tc>
          <w:tcPr>
            <w:tcW w:type="dxa" w:w="1440"/>
          </w:tcPr>
          <w:p>
            <w:r>
              <w:rPr>
                <w:rFonts w:ascii="Calibri" w:hAnsi="Calibri"/>
                <w:sz w:val="22"/>
              </w:rPr>
              <w:t>May 18, 2026</w:t>
            </w:r>
          </w:p>
        </w:tc>
        <w:tc>
          <w:tcPr>
            <w:tcW w:type="dxa" w:w="1440"/>
          </w:tcPr>
          <w:p>
            <w:r>
              <w:rPr>
                <w:rFonts w:ascii="Calibri" w:hAnsi="Calibri"/>
                <w:sz w:val="22"/>
              </w:rPr>
              <w:t>Annual director equity award grants (A code); not open-market purchases; routine annual compensation</w:t>
            </w:r>
          </w:p>
        </w:tc>
      </w:tr>
    </w:tbl>
    <w:p>
      <w:r>
        <w:rPr>
          <w:rFonts w:ascii="Calibri" w:hAnsi="Calibri"/>
          <w:i/>
          <w:color w:val="525866"/>
          <w:sz w:val="22"/>
        </w:rPr>
        <w:t>Source: Insider Transaction Data (SEC Form 4 filings). All transactions since Q1 2026 earnings (April 30, 2026). Open-market buys (P code): none observed. Open-market sales (S code): Martin (10b5-1), Hague (10b5-1), Bowen (10b5-1), Gardiner (10b5-1). Director equity award grants (A code) on May 18 are annual compensation grants, not open-market purchases. No discretionary open-market buying or unusual selling activity detected.</w:t>
      </w:r>
    </w:p>
    <w:p>
      <w:r>
        <w:br w:type="page"/>
      </w:r>
    </w:p>
    <w:p>
      <w:pPr>
        <w:pStyle w:val="Heading2"/>
      </w:pPr>
      <w:r>
        <w:rPr>
          <w:rFonts w:ascii="Calibri" w:hAnsi="Calibri"/>
          <w:b/>
          <w:color w:val="3B4259"/>
          <w:sz w:val="28"/>
        </w:rPr>
        <w:t>Appendix: Key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(net revenue, adj. EPS, energy futures revenue, interest rate revenue, recurring revenues by segment, adj. operating income, free cash flow). As-of date: July 29, 2026 (current consensus) and May 5, 2026 (post-Q1 earnings baseline).</w:t>
      </w:r>
    </w:p>
    <w:p>
      <w:pPr>
        <w:pStyle w:val="ListBullet"/>
        <w:ind w:left="360" w:hanging="360"/>
      </w:pPr>
      <w:r>
        <w:rPr>
          <w:rFonts w:ascii="Calibri" w:hAnsi="Calibri"/>
          <w:b/>
          <w:color w:val="525866"/>
          <w:sz w:val="22"/>
        </w:rPr>
        <w:t>ICE Q1 2026 Earnings Call Transcript (April 30, 2026)</w:t>
      </w:r>
      <w:r>
        <w:rPr>
          <w:rFonts w:ascii="Calibri" w:hAnsi="Calibri"/>
          <w:color w:val="525866"/>
          <w:sz w:val="22"/>
        </w:rPr>
        <w:t xml:space="preserve"> — Q2 2026 guidance (adj. opex, mortgage technology recurring revenue, share count, non-operating expense); management commentary on open interest, FIDS confidence, data center expansion.</w:t>
      </w:r>
    </w:p>
    <w:p>
      <w:pPr>
        <w:pStyle w:val="ListBullet"/>
        <w:ind w:left="360" w:hanging="360"/>
      </w:pPr>
      <w:r>
        <w:rPr>
          <w:rFonts w:ascii="Calibri" w:hAnsi="Calibri"/>
          <w:b/>
          <w:color w:val="525866"/>
          <w:sz w:val="22"/>
        </w:rPr>
        <w:t>ICE June &amp; Q2 2026 Volume Statistics Release (July 6, 2026)</w:t>
      </w:r>
      <w:r>
        <w:rPr>
          <w:rFonts w:ascii="Calibri" w:hAnsi="Calibri"/>
          <w:color w:val="525866"/>
          <w:sz w:val="22"/>
        </w:rPr>
        <w:t xml:space="preserve"> — Total OI +20% YoY; financials ADV +22% YoY; interest rates ADV +24% YoY; record agriculture &amp; metals ADV +36% YoY; NYSE equity options ADV +44% YoY.</w:t>
      </w:r>
    </w:p>
    <w:p>
      <w:pPr>
        <w:pStyle w:val="ListBullet"/>
        <w:ind w:left="360" w:hanging="360"/>
      </w:pPr>
      <w:r>
        <w:rPr>
          <w:rFonts w:ascii="Calibri" w:hAnsi="Calibri"/>
          <w:b/>
          <w:color w:val="525866"/>
          <w:sz w:val="22"/>
        </w:rPr>
        <w:t>CME Group Q2 2026 Earnings Call Transcript (July 22, 2026)</w:t>
      </w:r>
      <w:r>
        <w:rPr>
          <w:rFonts w:ascii="Calibri" w:hAnsi="Calibri"/>
          <w:color w:val="525866"/>
          <w:sz w:val="22"/>
        </w:rPr>
        <w:t xml:space="preserve"> — Peer read-through: volume, OI, market data, perpetual futures regulatory commentary.</w:t>
      </w:r>
    </w:p>
    <w:p>
      <w:pPr>
        <w:pStyle w:val="ListBullet"/>
        <w:ind w:left="360" w:hanging="360"/>
      </w:pPr>
      <w:r>
        <w:rPr>
          <w:rFonts w:ascii="Calibri" w:hAnsi="Calibri"/>
          <w:b/>
          <w:color w:val="525866"/>
          <w:sz w:val="22"/>
        </w:rPr>
        <w:t>S&amp;P Global Q2 2026 Earnings Call Transcript (July 28, 2026)</w:t>
      </w:r>
      <w:r>
        <w:rPr>
          <w:rFonts w:ascii="Calibri" w:hAnsi="Calibri"/>
          <w:color w:val="525866"/>
          <w:sz w:val="22"/>
        </w:rPr>
        <w:t xml:space="preserve"> — Peer read-through: ETD volumes, energy volatility impact on GTS, recurring revenue, AI monetization.</w:t>
      </w:r>
    </w:p>
    <w:p>
      <w:pPr>
        <w:pStyle w:val="ListBullet"/>
        <w:ind w:left="360" w:hanging="360"/>
      </w:pPr>
      <w:r>
        <w:rPr>
          <w:rFonts w:ascii="Calibri" w:hAnsi="Calibri"/>
          <w:b/>
          <w:color w:val="525866"/>
          <w:sz w:val="22"/>
        </w:rPr>
        <w:t>Moody’s Corporation Q2 2026 Earnings Call Transcript (July 22, 2026)</w:t>
      </w:r>
      <w:r>
        <w:rPr>
          <w:rFonts w:ascii="Calibri" w:hAnsi="Calibri"/>
          <w:color w:val="525866"/>
          <w:sz w:val="22"/>
        </w:rPr>
        <w:t xml:space="preserve"> — Peer read-through: debt issuance volumes, analytics recurring revenue, private credit, tokenization.</w:t>
      </w:r>
    </w:p>
    <w:p>
      <w:pPr>
        <w:pStyle w:val="ListBullet"/>
        <w:ind w:left="360" w:hanging="360"/>
      </w:pPr>
      <w:r>
        <w:rPr>
          <w:rFonts w:ascii="Calibri" w:hAnsi="Calibri"/>
          <w:b/>
          <w:color w:val="525866"/>
          <w:sz w:val="22"/>
        </w:rPr>
        <w:t>MSCI Inc. Q2 2026 Earnings Call Transcript (July 21, 2026)</w:t>
      </w:r>
      <w:r>
        <w:rPr>
          <w:rFonts w:ascii="Calibri" w:hAnsi="Calibri"/>
          <w:color w:val="525866"/>
          <w:sz w:val="22"/>
        </w:rPr>
        <w:t xml:space="preserve"> — Peer read-through: ETF AUM, MSCI ADV on ICE, analytics subscription growth, AI data access.</w:t>
      </w:r>
    </w:p>
    <w:p>
      <w:pPr>
        <w:pStyle w:val="ListBullet"/>
        <w:ind w:left="360" w:hanging="360"/>
      </w:pPr>
      <w:r>
        <w:rPr>
          <w:rFonts w:ascii="Calibri" w:hAnsi="Calibri"/>
          <w:b/>
          <w:color w:val="525866"/>
          <w:sz w:val="22"/>
        </w:rPr>
        <w:t>SEC Form 4 Filings (Insider Transaction Data)</w:t>
      </w:r>
      <w:r>
        <w:rPr>
          <w:rFonts w:ascii="Calibri" w:hAnsi="Calibri"/>
          <w:color w:val="525866"/>
          <w:sz w:val="22"/>
        </w:rPr>
        <w:t xml:space="preserve"> — All insider transactions filed between April 30, 2026 and July 29, 2026.</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Daily closing prices for ICE, SPGI, and CME from April 28, 2026 through July 29,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