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ex-earnings-predictions--2026-07-29"/>
    <w:p>
      <w:pPr>
        <w:pStyle w:val="Heading1"/>
      </w:pPr>
      <w:r>
        <w:t xml:space="preserve">IEX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~+4-5% vs. cons ~+3.5%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~27.0% vs. cons ~26.9%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8.45</m:t>
              </m:r>
              <m:r>
                <m:rPr>
                  <m:sty m:val="p"/>
                </m:rPr>
                <m:t>−</m:t>
              </m:r>
            </m:oMath>
            <w:r>
              <w:t xml:space="preserve">8.65 (mid ~</w:t>
            </w:r>
            <m:oMath>
              <m:r>
                <m:t>8.55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8.52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~3-4% vs. cons ~3.5%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2.12</m:t>
              </m:r>
              <m:r>
                <m:rPr>
                  <m:sty m:val="p"/>
                </m:rPr>
                <m:t>−</m:t>
              </m:r>
            </m:oMath>
            <w:r>
              <w:t xml:space="preserve">2.17 vs. cons ~$2.16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HST orders/backlog durability (organic orders)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HST organic orders ~+12-15% vs. cons/prior ~+10%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Base case is a modest beat plus a small second FY raise, which is largely priced at ~26.6x forward and near 52-week highs. A flat-to-up Q2 EPS guide against a strong Q2'25 margin comp, combined with a FY raise smaller than the Q2 beat, implicitly trims H2 estimates (out-period math), so an initial pop from record HST orders is likely given back to profit-taking as the premium multiple caps upside; only a clear HST order re-acceleration would sustain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2026-07-29T00:46:44Z</dcterms:created>
  <dcterms:modified xsi:type="dcterms:W3CDTF">2026-07-29T00:46:44Z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