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IDEX Corporation (IEX) to build a well-grounded earnings preview. Let me start gathering information.Let me read the most recent Q1 2026 earnings materials and get recent news.Let me get recent news and the year-ago Q2 2025 comparison figures.Let me check for any recent news/press releases in the second quarter of 2026 (acquisitions, etc.).I have what I need. Let me verify a couple of derived figures before writing.Here is the earnings preview.</w:t>
      </w:r>
    </w:p>
    <w:p>
      <w:r>
        <w:pict>
          <v:rect style="width:0;height:1.5pt" o:hralign="center" o:hrstd="t" o:hr="t"/>
        </w:pict>
      </w:r>
    </w:p>
    <w:bookmarkStart w:id="16" w:name="X05a5c91f39c52c99465053d61fcdbd6af1a6f23"/>
    <w:p>
      <w:pPr>
        <w:pStyle w:val="Heading1"/>
      </w:pPr>
      <w:r>
        <w:t xml:space="preserve">IDEX Corporation (NYSE: IEX) — Q2 2026 Earnings Preview</w:t>
      </w:r>
    </w:p>
    <w:bookmarkStart w:id="9" w:name="X7f1cdd97a24ca2c0f5113dee57081c5dc9725d4"/>
    <w:p>
      <w:pPr>
        <w:pStyle w:val="Heading3"/>
      </w:pPr>
      <w:r>
        <w:t xml:space="preserve">Reports before market open, Wednesday July 29, 2026 (8:00 a.m. CT call)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IDEX heads into Q2 with the best momentum it has shown in two years, a record order book, and a stock that has already priced in a lot of good news. The debate is no longer whether the "advantaged markets" strategy is working in HST — it clearly is — but whether the short-cycle industrial businesses (FMT/FSDP) are finally inflecting, and whether that's enough to justify a stock trading near all-time highs at ~26.6x this year's EPS.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numbers-need-to-clear"/>
    <w:p>
      <w:pPr>
        <w:pStyle w:val="Heading2"/>
      </w:pPr>
      <w:r>
        <w:t xml:space="preserve">What the numbers need to clear</w:t>
      </w:r>
    </w:p>
    <w:p>
      <w:pPr>
        <w:pStyle w:val="FirstParagraph"/>
      </w:pPr>
      <w:r>
        <w:t xml:space="preserve">Management guided Q2 2026 specifically on the Q1 call: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+3% to +4%</w:t>
            </w:r>
          </w:p>
        </w:tc>
        <w:tc>
          <w:tcPr/>
          <w:p>
            <w:pPr>
              <w:pStyle w:val="Compact"/>
            </w:pPr>
            <w:r>
              <w:t xml:space="preserve">+1%</w:t>
            </w:r>
          </w:p>
        </w:tc>
        <w:tc>
          <w:tcPr/>
          <w:p>
            <w:pPr>
              <w:pStyle w:val="Compact"/>
            </w:pPr>
            <w:r>
              <w:t xml:space="preserve">Accelerating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26.5%–27.0%</w:t>
            </w:r>
          </w:p>
        </w:tc>
        <w:tc>
          <w:tcPr/>
          <w:p>
            <w:pPr>
              <w:pStyle w:val="Compact"/>
            </w:pPr>
            <w:r>
              <w:t xml:space="preserve">27.4%</w:t>
            </w:r>
          </w:p>
        </w:tc>
        <w:tc>
          <w:tcPr/>
          <w:p>
            <w:pPr>
              <w:pStyle w:val="Compact"/>
            </w:pPr>
            <w:r>
              <w:t xml:space="preserve">Down ~40–90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m:oMath>
              <m:r>
                <m:t>2.07</m:t>
              </m:r>
              <m:r>
                <m:rPr>
                  <m:sty m:val="p"/>
                </m:rPr>
                <m:t>–</m:t>
              </m:r>
            </m:oMath>
            <w:r>
              <w:t xml:space="preserve">2.12</w:t>
            </w:r>
          </w:p>
        </w:tc>
        <w:tc>
          <w:tcPr/>
          <w:p>
            <w:pPr>
              <w:pStyle w:val="Compact"/>
            </w:pPr>
            <w:r>
              <w:t xml:space="preserve">$2.07</w:t>
            </w:r>
          </w:p>
        </w:tc>
        <w:tc>
          <w:tcPr/>
          <w:p>
            <w:pPr>
              <w:pStyle w:val="Compact"/>
            </w:pPr>
            <w:r>
              <w:t xml:space="preserve">Flat to +2.4%</w:t>
            </w:r>
          </w:p>
        </w:tc>
      </w:tr>
    </w:tbl>
    <w:p>
      <w:pPr>
        <w:pStyle w:val="BodyText"/>
      </w:pPr>
      <w:r>
        <w:t xml:space="preserve">Two things to keep in mind on the optics: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EPS comp looks unimpressive by design.</w:t>
      </w:r>
      <w:r>
        <w:t xml:space="preserve"> </w:t>
      </w:r>
      <w:r>
        <w:t xml:space="preserve">Q2 2025 was actually a relatively strong-margin quarter (27.4% EBITDA, adj. EPS $2.07)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company cut its full-year guide that same morning. So a</w:t>
      </w:r>
      <w:r>
        <w:t xml:space="preserve"> </w:t>
      </w:r>
      <m:oMath>
        <m:r>
          <m:t>2.07</m:t>
        </m:r>
        <m:r>
          <m:rPr>
            <m:sty m:val="p"/>
          </m:rPr>
          <m:t>–</m:t>
        </m:r>
      </m:oMath>
      <w:r>
        <w:t xml:space="preserve">2.12 guide is essentially flat-to-up against a tough margin comp, even though the full year is guided to mid-to-high single-digit EPS growth (</w:t>
      </w:r>
      <m:oMath>
        <m:r>
          <m:t>8.35</m:t>
        </m:r>
        <m:r>
          <m:rPr>
            <m:sty m:val="p"/>
          </m:rPr>
          <m:t>–</m:t>
        </m:r>
      </m:oMath>
      <w:r>
        <w:t xml:space="preserve">8.55). That means the</w:t>
      </w:r>
      <w:r>
        <w:t xml:space="preserve"> </w:t>
      </w:r>
      <w:r>
        <w:rPr>
          <w:b/>
          <w:bCs/>
        </w:rPr>
        <w:t xml:space="preserve">back half carries the growth</w:t>
      </w:r>
      <w:r>
        <w:t xml:space="preserve"> </w:t>
      </w:r>
      <w:r>
        <w:t xml:space="preserve">— watch whether the Q2 print and commentary support that H2 acceleration.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 down YoY is expected, not a red flag.</w:t>
      </w:r>
      <w:r>
        <w:t xml:space="preserve"> </w:t>
      </w:r>
      <w:r>
        <w:t xml:space="preserve">It's driven by mix (fast-growing acquired HST businesses like Mott, Muon, Micro-LAM run below segment margins) and FMT/FSDP volume deleverage — not pricing or cost problems.</w:t>
      </w:r>
    </w:p>
    <w:p>
      <w:r>
        <w:pict>
          <v:rect style="width:0;height:1.5pt" o:hralign="center" o:hrstd="t" o:hr="t"/>
        </w:pict>
      </w:r>
    </w:p>
    <w:bookmarkEnd w:id="11"/>
    <w:bookmarkStart w:id="12" w:name="why-sentiment-is-constructive-going-in"/>
    <w:p>
      <w:pPr>
        <w:pStyle w:val="Heading2"/>
      </w:pPr>
      <w:r>
        <w:t xml:space="preserve">Why sentiment is constructive going in</w:t>
      </w:r>
    </w:p>
    <w:p>
      <w:pPr>
        <w:pStyle w:val="FirstParagraph"/>
      </w:pPr>
      <w:r>
        <w:rPr>
          <w:b/>
          <w:bCs/>
        </w:rPr>
        <w:t xml:space="preserve">1. Orders are at record levels and HST backlog keeps building.</w:t>
      </w:r>
      <w:r>
        <w:t xml:space="preserve"> </w:t>
      </w:r>
      <w:r>
        <w:t xml:space="preserve">Q1 delivered record orders of $988M, +13% reported / +10% organic, led by HST organic orders of +17%. This is unusual for IDEX, which historically had limited visibility (they typically enter a quarter ~50% booked). HST's backlog build now gives real visibility "into 2027," anchored to secular demand in</w:t>
      </w:r>
      <w:r>
        <w:t xml:space="preserve"> </w:t>
      </w:r>
      <w:r>
        <w:rPr>
          <w:b/>
          <w:bCs/>
        </w:rPr>
        <w:t xml:space="preserve">data center power, semiconductors, optical switching, and space &amp; defense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2. The full-year guide was already raised once.</w:t>
      </w:r>
      <w:r>
        <w:t xml:space="preserve"> </w:t>
      </w:r>
      <w:r>
        <w:t xml:space="preserve">After Q1, management lifted organic growth from 1–2% to</w:t>
      </w:r>
      <w:r>
        <w:t xml:space="preserve"> </w:t>
      </w:r>
      <w:r>
        <w:rPr>
          <w:b/>
          <w:bCs/>
        </w:rPr>
        <w:t xml:space="preserve">3–4%</w:t>
      </w:r>
      <w:r>
        <w:t xml:space="preserve"> </w:t>
      </w:r>
      <w:r>
        <w:t xml:space="preserve">and EPS by</w:t>
      </w:r>
      <w:r>
        <w:t xml:space="preserve"> </w:t>
      </w:r>
      <m:oMath>
        <m:r>
          <m:t>0.20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8.35–$8.55**. Notably, management said the raise was driven by internal growth initiatives and M&amp;A,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 bet on a cyclical rebound — so there's a conservative cushion baked in if short-cycle markets improve.</w:t>
      </w:r>
    </w:p>
    <w:p>
      <w:pPr>
        <w:pStyle w:val="BodyText"/>
      </w:pPr>
      <w:r>
        <w:rPr>
          <w:b/>
          <w:bCs/>
        </w:rPr>
        <w:t xml:space="preserve">3. Short-cycle green shoots.</w:t>
      </w:r>
      <w:r>
        <w:t xml:space="preserve"> </w:t>
      </w:r>
      <w:r>
        <w:t xml:space="preserve">FMT orders grew +9% organic in Q1, led by the water platform (municipal/stormwater plus a high-purity semiconductor water business that flipped from headwind to tailwind) and mining. Management described an improving monthly cadence (weak January → stronger March → holding in April) but stopped short of calling a clean inflection, citing chemical/general-industrial softness and geopolitical uncertainty.</w:t>
      </w:r>
    </w:p>
    <w:p>
      <w:r>
        <w:pict>
          <v:rect style="width:0;height:1.5pt" o:hralign="center" o:hrstd="t" o:hr="t"/>
        </w:pict>
      </w:r>
    </w:p>
    <w:bookmarkEnd w:id="12"/>
    <w:bookmarkStart w:id="13" w:name="X4bd87b3a0a106401936fd7edf46c73998b3d328"/>
    <w:p>
      <w:pPr>
        <w:pStyle w:val="Heading2"/>
      </w:pPr>
      <w:r>
        <w:t xml:space="preserve">The five things I'd watch on the print and call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HST order/backlog durability.</w:t>
      </w:r>
      <w:r>
        <w:t xml:space="preserve"> </w:t>
      </w:r>
      <w:r>
        <w:t xml:space="preserve">Does the backlog build continue, or was Q1's +17% orders a peak? The bull case on the stock rests on HST sustaining high-single/double-digit growth with a multi-year runway. Any deceleration in the AI/data-center/space-defense order signal is the single most important risk to the thesis.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HST incremental margins.</w:t>
      </w:r>
      <w:r>
        <w:t xml:space="preserve"> </w:t>
      </w:r>
      <w:r>
        <w:t xml:space="preserve">Flow-through has been stuck in the low-to-mid 30s vs. a historical target near 40%. Management expects "mid-30s" for the year, with the path to 40% dependent on (a) 8020 pruning to lift margins at acquired businesses and (b) a life sciences recovery. Progress here matters more than the headline margin.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FMT/FSDP — real inflection or head-fake?</w:t>
      </w:r>
      <w:r>
        <w:t xml:space="preserve"> </w:t>
      </w:r>
      <w:r>
        <w:t xml:space="preserve">FMT organic sales were only +2% despite +9% orders (a lot burns off within the quarter, and some Q1 mining/pumps demand was likely pulled forward). Look for whether the short-cycle diagnostic businesses start moving</w:t>
      </w:r>
      <w:r>
        <w:t xml:space="preserve"> </w:t>
      </w:r>
      <w:r>
        <w:rPr>
          <w:i/>
          <w:iCs/>
        </w:rPr>
        <w:t xml:space="preserve">together</w:t>
      </w:r>
      <w:r>
        <w:t xml:space="preserve"> </w:t>
      </w:r>
      <w:r>
        <w:t xml:space="preserve">— Ashleman's stated signal for a genuine cyclical turn.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Life sciences.</w:t>
      </w:r>
      <w:r>
        <w:t xml:space="preserve"> </w:t>
      </w:r>
      <w:r>
        <w:t xml:space="preserve">Still pressured by China and NIH/academic funding; core fluidics and optical filters growing only low-single-digit. It's a high-margin business, so any inflection is a margin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growth tailwind. Watch for signs it's bottoming.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Another guidance raise + capital deployment.</w:t>
      </w:r>
      <w:r>
        <w:t xml:space="preserve"> </w:t>
      </w:r>
      <w:r>
        <w:t xml:space="preserve">With a Q1 beat and cushion in the guide, the market will look for a second FY raise. On capital: expect the **~</w:t>
      </w:r>
      <m:oMath>
        <m:r>
          <m:t>76</m:t>
        </m:r>
        <m:r>
          <m:t>M</m:t>
        </m:r>
        <m:r>
          <m:rPr>
            <m:sty m:val="p"/>
          </m:rPr>
          <m:t>/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p</m:t>
        </m:r>
        <m:r>
          <m:t>a</m:t>
        </m:r>
        <m:r>
          <m:t>c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c</m:t>
        </m:r>
        <m:r>
          <m:t>o</m:t>
        </m:r>
        <m:r>
          <m:t>n</m:t>
        </m:r>
        <m:r>
          <m:t>t</m:t>
        </m:r>
        <m:r>
          <m:t>i</m:t>
        </m:r>
        <m:r>
          <m:t>n</m:t>
        </m:r>
        <m:r>
          <m:t>u</m:t>
        </m:r>
        <m:r>
          <m:t>e</m:t>
        </m:r>
        <m:r>
          <m:rPr>
            <m:sty m:val="p"/>
          </m:rPr>
          <m:t>,</m:t>
        </m:r>
        <m:r>
          <m:t>g</m:t>
        </m:r>
        <m:r>
          <m:t>r</m:t>
        </m:r>
        <m:r>
          <m:t>o</m:t>
        </m:r>
        <m:r>
          <m:t>s</m:t>
        </m:r>
        <m:r>
          <m:t>s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 </m:t>
        </m:r>
        <m:r>
          <m:t>2</m:t>
        </m:r>
        <m:r>
          <m:t>x</m:t>
        </m:r>
        <m:r>
          <m:rPr>
            <m:sty m:val="p"/>
          </m:rPr>
          <m:t>,</m:t>
        </m:r>
        <m:r>
          <m:t> </m:t>
        </m:r>
      </m:oMath>
      <w:r>
        <w:t xml:space="preserve">1.1B liquidity, and an active</w:t>
      </w:r>
      <w:r>
        <w:t xml:space="preserve"> </w:t>
      </w:r>
      <w:r>
        <w:rPr>
          <w:b/>
          <w:bCs/>
        </w:rPr>
        <w:t xml:space="preserve">bolt-on M&amp;A</w:t>
      </w:r>
      <w:r>
        <w:t xml:space="preserve"> </w:t>
      </w:r>
      <w:r>
        <w:t xml:space="preserve">pipeline. Also watch for updates on</w:t>
      </w:r>
      <w:r>
        <w:t xml:space="preserve"> </w:t>
      </w:r>
      <w:r>
        <w:rPr>
          <w:b/>
          <w:bCs/>
        </w:rPr>
        <w:t xml:space="preserve">tariffs</w:t>
      </w:r>
      <w:r>
        <w:t xml:space="preserve"> </w:t>
      </w:r>
      <w:r>
        <w:t xml:space="preserve">(management sees roughly net-neutral impact) and any</w:t>
      </w:r>
      <w:r>
        <w:t xml:space="preserve"> </w:t>
      </w:r>
      <w:r>
        <w:rPr>
          <w:b/>
          <w:bCs/>
        </w:rPr>
        <w:t xml:space="preserve">IEEPA refund</w:t>
      </w:r>
      <w:r>
        <w:t xml:space="preserve"> </w:t>
      </w:r>
      <w:r>
        <w:t xml:space="preserve">developments.</w:t>
      </w:r>
    </w:p>
    <w:p>
      <w:r>
        <w:pict>
          <v:rect style="width:0;height:1.5pt" o:hralign="center" o:hrstd="t" o:hr="t"/>
        </w:pict>
      </w:r>
    </w:p>
    <w:bookmarkEnd w:id="13"/>
    <w:bookmarkStart w:id="14" w:name="X09d0301744d265ef2391453b69db0fcd337cc30"/>
    <w:p>
      <w:pPr>
        <w:pStyle w:val="Heading2"/>
      </w:pPr>
      <w:r>
        <w:t xml:space="preserve">Valuation and positioning — the crux of the risk/reward</w:t>
      </w:r>
    </w:p>
    <w:p>
      <w:pPr>
        <w:pStyle w:val="Compact"/>
        <w:numPr>
          <w:ilvl w:val="0"/>
          <w:numId w:val="1003"/>
        </w:numPr>
      </w:pPr>
      <w:r>
        <w:t xml:space="preserve">The stock closed **</w:t>
      </w:r>
      <m:oMath>
        <m:r>
          <m:t>224.69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28</m:t>
        </m:r>
        <m:r>
          <m:rPr>
            <m:sty m:val="p"/>
          </m:rPr>
          <m:t>/</m:t>
        </m:r>
        <m:r>
          <m:t>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26</m:t>
        </m:r>
      </m:oMath>
      <w:r>
        <w:t xml:space="preserve">229). It has more than recovered the ~11% one-day drop it took on July 30, 2025 when the FY25 guide was cut.</w:t>
      </w:r>
    </w:p>
    <w:p>
      <w:pPr>
        <w:pStyle w:val="Compact"/>
        <w:numPr>
          <w:ilvl w:val="0"/>
          <w:numId w:val="1003"/>
        </w:numPr>
      </w:pPr>
      <w:r>
        <w:t xml:space="preserve">At the FY26 EPS midpoint of $8.45, that's</w:t>
      </w:r>
      <w:r>
        <w:t xml:space="preserve"> </w:t>
      </w:r>
      <w:r>
        <w:rPr>
          <w:b/>
          <w:bCs/>
        </w:rPr>
        <w:t xml:space="preserve">~26.6x forward earnings</w:t>
      </w:r>
      <w:r>
        <w:t xml:space="preserve"> </w:t>
      </w:r>
      <w:r>
        <w:t xml:space="preserve">— a full multiple for a company guiding to mid-single-digit organic growth, reflecting the market's confidence in the HST secular story.</w:t>
      </w:r>
    </w:p>
    <w:p>
      <w:pPr>
        <w:pStyle w:val="FirstParagraph"/>
      </w:pPr>
      <w:r>
        <w:rPr>
          <w:b/>
          <w:bCs/>
        </w:rPr>
        <w:t xml:space="preserve">Reaction risk is high and asymmetric.</w:t>
      </w:r>
      <w:r>
        <w:t xml:space="preserve"> </w:t>
      </w:r>
      <w:r>
        <w:t xml:space="preserve">IDEX has moved sharply on recent prints:</w:t>
      </w:r>
      <w:r>
        <w:t xml:space="preserve"> </w:t>
      </w:r>
      <w:r>
        <w:rPr>
          <w:b/>
          <w:bCs/>
        </w:rPr>
        <w:t xml:space="preserve">-11% on the Q2 2025 guide cut</w:t>
      </w:r>
      <w:r>
        <w:t xml:space="preserve">, but</w:t>
      </w:r>
      <w:r>
        <w:t xml:space="preserve"> </w:t>
      </w:r>
      <w:r>
        <w:rPr>
          <w:b/>
          <w:bCs/>
        </w:rPr>
        <w:t xml:space="preserve">+6% after Q1 2026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+5% after Q4 2025</w:t>
      </w:r>
      <w:r>
        <w:t xml:space="preserve">. Given the run into the quarter and premium multiple, the bar is high: a Q1-style beat-and-raise is arguably needed to sustain the stock, while any hint that HST orders are cooling or that FMT/FSDP's inflection is stalling could prompt an outsized pullback.</w:t>
      </w:r>
    </w:p>
    <w:p>
      <w:r>
        <w:pict>
          <v:rect style="width:0;height:1.5pt" o:hralign="center" o:hrstd="t" o:hr="t"/>
        </w:pict>
      </w:r>
    </w:p>
    <w:bookmarkEnd w:id="14"/>
    <w:bookmarkStart w:id="1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fundamental trajectory is the strongest it's been in two years — record orders, rising HST visibility into 2027, and an already-raised guide with conservatism embedded. The setup into Q2 is fundamentally favorable but priced for continued execution. The key swing factors are</w:t>
      </w:r>
      <w:r>
        <w:t xml:space="preserve"> </w:t>
      </w:r>
      <w:r>
        <w:rPr>
          <w:b/>
          <w:bCs/>
        </w:rPr>
        <w:t xml:space="preserve">(1) HST order/backlog durability and margin flow-through</w:t>
      </w:r>
      <w:r>
        <w:t xml:space="preserve">, and</w:t>
      </w:r>
      <w:r>
        <w:t xml:space="preserve"> </w:t>
      </w:r>
      <w:r>
        <w:rPr>
          <w:b/>
          <w:bCs/>
        </w:rPr>
        <w:t xml:space="preserve">(2) confirmation that short-cycle FMT/FSDP is genuinely inflecting rather than just stabilizing</w:t>
      </w:r>
      <w:r>
        <w:t xml:space="preserve">. Deliver both, plus a second guide raise, and the premium multiple holds; disappoint on either, and the risk/reward skews to the downside given the recent run.</w:t>
      </w:r>
    </w:p>
    <w:p>
      <w:pPr>
        <w:pStyle w:val="BodyText"/>
      </w:pPr>
      <w:r>
        <w:rPr>
          <w:i/>
          <w:iCs/>
        </w:rPr>
        <w:t xml:space="preserve">Preview based on IDEX's Q1 2026 results/call (Apr 29, 2026), Q2 2025 results (Jul 30, 2025), and share-price history through Jul 28, 2026. Figures are non-GAAP where noted (adjusted EPS/EBITDA). This is research/analysis, not investment advice.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2026-07-29T00:46:44Z</dcterms:created>
  <dcterms:modified xsi:type="dcterms:W3CDTF">2026-07-29T00:46:44Z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