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~$2.14 vs. cons $2.11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~$918M vs. cons $905.4M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~5.0% vs. cons ~3.5% (mgmt guided 3-4%)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8.55</m:t>
              </m:r>
              <m:r>
                <m:rPr>
                  <m:sty m:val="p"/>
                </m:rPr>
                <m:t>−</m:t>
              </m:r>
            </m:oMath>
            <w:r>
              <w:t xml:space="preserve">8.75 vs. cons $8.55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~4-5% vs. prior guide/cons 3-4%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HST segment order/backlog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~high-single to double-digit growth vs. cons mid-single-digit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2.15</m:t>
              </m:r>
              <m:r>
                <m:rPr>
                  <m:sty m:val="p"/>
                </m:rPr>
                <m:t>−</m:t>
              </m:r>
            </m:oMath>
            <w:r>
              <w:t xml:space="preserve">2.20 vs. cons $2.16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(FOLLOW-THROUGH)</w:t>
            </w:r>
          </w:p>
        </w:tc>
        <w:tc>
          <w:tcPr/>
          <w:p>
            <w:pPr>
              <w:pStyle w:val="Compact"/>
            </w:pPr>
            <w:r>
              <w:t xml:space="preserve">A beat-and-raise (4th straight quarter) with HST backlog visibility supporting a full-year EPS/organic-growth guide bump should trigger positive estimate revisions that persist post-print, similar to the Q1 reaction; however, the stock's already-rich 22.7% YTD run and consensus sitting near the top of prior guidance limit magnitude of both day-1 pop and subsequent drift, while cautious FMT/FSDP short-cycle commentary caps upside vs. Q1's move, keeping the move a moderate follow-through rather than a sharp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2026-07-29T00:43:25Z</dcterms:created>
  <dcterms:modified xsi:type="dcterms:W3CDTF">2026-07-29T00:43:25Z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