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05a5c91f39c52c99465053d61fcdbd6af1a6f23"/>
    <w:p>
      <w:pPr>
        <w:pStyle w:val="Heading1"/>
      </w:pPr>
      <w:r>
        <w:t xml:space="preserve">IDEX Corporation (NYSE: IEX) — Q2 2026 Earnings Preview</w:t>
      </w:r>
    </w:p>
    <w:p>
      <w:pPr>
        <w:pStyle w:val="BlockText"/>
      </w:pPr>
      <w:r>
        <w:rPr>
          <w:b/>
          <w:bCs/>
        </w:rPr>
        <w:t xml:space="preserve">Timing note:</w:t>
      </w:r>
      <w:r>
        <w:t xml:space="preserve"> </w:t>
      </w:r>
      <w:r>
        <w:t xml:space="preserve">IDEX has scheduled its Q2 results for</w:t>
      </w:r>
      <w:r>
        <w:t xml:space="preserve"> </w:t>
      </w:r>
      <w:r>
        <w:rPr>
          <w:b/>
          <w:bCs/>
        </w:rPr>
        <w:t xml:space="preserve">Wednesday, July 29, 2026, before the market opens</w:t>
      </w:r>
      <w:r>
        <w:t xml:space="preserve">, followed by its earnings call at</w:t>
      </w:r>
      <w:r>
        <w:t xml:space="preserve"> </w:t>
      </w:r>
      <w:r>
        <w:rPr>
          <w:b/>
          <w:bCs/>
        </w:rPr>
        <w:t xml:space="preserve">9:00 a.m. ET</w:t>
      </w:r>
      <w:r>
        <w:t xml:space="preserve">. Because July 29 is the current date—not tomorrow—this preview is framed as immediately ahead of the release. (</w:t>
      </w:r>
      <w:hyperlink r:id="rId9">
        <w:r>
          <w:rPr>
            <w:rStyle w:val="Hyperlink"/>
          </w:rPr>
          <w:t xml:space="preserve">investors.idexcorp.com</w:t>
        </w:r>
      </w:hyperlink>
      <w:r>
        <w:t xml:space="preserve">)</w:t>
      </w:r>
    </w:p>
    <w:bookmarkStart w:id="11" w:name="executive-view"/>
    <w:p>
      <w:pPr>
        <w:pStyle w:val="Heading2"/>
      </w:pPr>
      <w:r>
        <w:t xml:space="preserve">Executive view</w:t>
      </w:r>
    </w:p>
    <w:p>
      <w:pPr>
        <w:pStyle w:val="FirstParagraph"/>
      </w:pPr>
      <w:r>
        <w:t xml:space="preserve">IDEX enters Q2 with unusually strong momentum in Health &amp; Science Technologies, particularly across data centers, semiconductors, and space and defense. The central question is no longer whether these businesses are growing; it is whether that strength can remain durable enough to offset still-muted short-cycle industrial demand and improve the company’s overall growth profile.</w:t>
      </w:r>
    </w:p>
    <w:p>
      <w:pPr>
        <w:pStyle w:val="BodyText"/>
      </w:pPr>
      <w:r>
        <w:t xml:space="preserve">A result merely matching Q2 guidance would be respectable. For the stock to react positively, however, investors will probably want at least one of the following:</w:t>
      </w:r>
    </w:p>
    <w:p>
      <w:pPr>
        <w:pStyle w:val="Compact"/>
        <w:numPr>
          <w:ilvl w:val="0"/>
          <w:numId w:val="1001"/>
        </w:numPr>
      </w:pPr>
      <w:r>
        <w:t xml:space="preserve">Continued double-digit or near-double-digit HST growth;</w:t>
      </w:r>
    </w:p>
    <w:p>
      <w:pPr>
        <w:pStyle w:val="Compact"/>
        <w:numPr>
          <w:ilvl w:val="0"/>
          <w:numId w:val="1001"/>
        </w:numPr>
      </w:pPr>
      <w:r>
        <w:t xml:space="preserve">Another strong order quarter and evidence that the HST backlog extends into 2027;</w:t>
      </w:r>
    </w:p>
    <w:p>
      <w:pPr>
        <w:pStyle w:val="Compact"/>
        <w:numPr>
          <w:ilvl w:val="0"/>
          <w:numId w:val="1001"/>
        </w:numPr>
      </w:pPr>
      <w:r>
        <w:t xml:space="preserve">A more constructive outlook for FMT’s short-cycle industrial businesses;</w:t>
      </w:r>
    </w:p>
    <w:p>
      <w:pPr>
        <w:pStyle w:val="Compact"/>
        <w:numPr>
          <w:ilvl w:val="0"/>
          <w:numId w:val="1001"/>
        </w:numPr>
      </w:pPr>
      <w:r>
        <w:t xml:space="preserve">Better-than-guided margins despite unfavorable mix; or</w:t>
      </w:r>
    </w:p>
    <w:p>
      <w:pPr>
        <w:pStyle w:val="Compact"/>
        <w:numPr>
          <w:ilvl w:val="0"/>
          <w:numId w:val="1001"/>
        </w:numPr>
      </w:pPr>
      <w:r>
        <w:t xml:space="preserve">A second increase to full-year earnings or organic-growth guidance.</w:t>
      </w:r>
    </w:p>
    <w:p>
      <w:pPr>
        <w:pStyle w:val="FirstParagraph"/>
      </w:pPr>
      <w:r>
        <w:t xml:space="preserve">The risk is that the strong Q1 order intake represented some pull-forward, while mix from lower-margin acquired growth businesses limits earnings conversion. With the shares trading at roughly</w:t>
      </w:r>
      <w:r>
        <w:t xml:space="preserve"> </w:t>
      </w:r>
      <w:r>
        <w:rPr>
          <w:b/>
          <w:bCs/>
        </w:rPr>
        <w:t xml:space="preserve">26.5 times the $8.48 FY2026 consensus EPS estimate</w:t>
      </w:r>
      <w:r>
        <w:t xml:space="preserve">, expectations are already reasonably demanding. (</w:t>
      </w:r>
      <w:hyperlink r:id="rId10">
        <w:r>
          <w:rPr>
            <w:rStyle w:val="Hyperlink"/>
          </w:rPr>
          <w:t xml:space="preserve">barchart.com</w:t>
        </w:r>
      </w:hyperlink>
      <w:r>
        <w:t xml:space="preserve">)</w:t>
      </w:r>
    </w:p>
    <w:p>
      <w:r>
        <w:pict>
          <v:rect style="width:0;height:1.5pt" o:hralign="center" o:hrstd="t" o:hr="t"/>
        </w:pict>
      </w:r>
    </w:p>
    <w:bookmarkEnd w:id="11"/>
    <w:bookmarkStart w:id="13" w:name="numbers-to-know"/>
    <w:p>
      <w:pPr>
        <w:pStyle w:val="Heading2"/>
      </w:pPr>
      <w:r>
        <w:t xml:space="preserve">Numbers to know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reference point</w:t>
            </w:r>
          </w:p>
        </w:tc>
      </w:tr>
      <w:tr>
        <w:tc>
          <w:tcPr/>
          <w:p>
            <w:pPr>
              <w:pStyle w:val="Compact"/>
            </w:pPr>
            <w:r>
              <w:t xml:space="preserve">Management organic-sales guidance</w:t>
            </w:r>
          </w:p>
        </w:tc>
        <w:tc>
          <w:tcPr/>
          <w:p>
            <w:pPr>
              <w:pStyle w:val="Compact"/>
              <w:jc w:val="right"/>
            </w:pPr>
            <w:r>
              <w:rPr>
                <w:b/>
                <w:bCs/>
              </w:rPr>
              <w:t xml:space="preserve">+3% to +4%</w:t>
            </w:r>
          </w:p>
        </w:tc>
      </w:tr>
      <w:tr>
        <w:tc>
          <w:tcPr/>
          <w:p>
            <w:pPr>
              <w:pStyle w:val="Compact"/>
            </w:pPr>
            <w:r>
              <w:t xml:space="preserve">Management adjusted EBITDA-margin guidance</w:t>
            </w:r>
          </w:p>
        </w:tc>
        <w:tc>
          <w:tcPr/>
          <w:p>
            <w:pPr>
              <w:pStyle w:val="Compact"/>
              <w:jc w:val="right"/>
            </w:pPr>
            <w:r>
              <w:rPr>
                <w:b/>
                <w:bCs/>
              </w:rPr>
              <w:t xml:space="preserve">26.5% to 27.0%</w:t>
            </w:r>
          </w:p>
        </w:tc>
      </w:tr>
      <w:tr>
        <w:tc>
          <w:tcPr/>
          <w:p>
            <w:pPr>
              <w:pStyle w:val="Compact"/>
            </w:pPr>
            <w:r>
              <w:t xml:space="preserve">Management adjusted EPS guidance</w:t>
            </w:r>
          </w:p>
        </w:tc>
        <w:tc>
          <w:tcPr/>
          <w:p>
            <w:pPr>
              <w:pStyle w:val="Compact"/>
              <w:jc w:val="right"/>
            </w:pPr>
            <w:r>
              <w:rPr>
                <w:b/>
                <w:bCs/>
              </w:rPr>
              <w:t xml:space="preserve">$2.07 to $2.12</w:t>
            </w:r>
          </w:p>
        </w:tc>
      </w:tr>
      <w:tr>
        <w:tc>
          <w:tcPr/>
          <w:p>
            <w:pPr>
              <w:pStyle w:val="Compact"/>
            </w:pPr>
            <w:r>
              <w:t xml:space="preserve">Street adjusted EPS estimate</w:t>
            </w:r>
          </w:p>
        </w:tc>
        <w:tc>
          <w:tcPr/>
          <w:p>
            <w:pPr>
              <w:pStyle w:val="Compact"/>
              <w:jc w:val="right"/>
            </w:pPr>
            <w:r>
              <w:rPr>
                <w:b/>
                <w:bCs/>
              </w:rPr>
              <w:t xml:space="preserve">Approximately</w:t>
            </w:r>
            <w:r>
              <w:rPr>
                <w:b/>
                <w:bCs/>
              </w:rPr>
              <w:t xml:space="preserve"> </w:t>
            </w:r>
            <m:oMath>
              <m:r>
                <m:t>2.10</m:t>
              </m:r>
              <m:r>
                <m:rPr>
                  <m:sty m:val="p"/>
                </m:rPr>
                <m:t>–</m:t>
              </m:r>
            </m:oMath>
            <w:r>
              <w:rPr>
                <w:b/>
                <w:bCs/>
              </w:rPr>
              <w:t xml:space="preserve">2.11</w:t>
            </w:r>
          </w:p>
        </w:tc>
      </w:tr>
      <w:tr>
        <w:tc>
          <w:tcPr/>
          <w:p>
            <w:pPr>
              <w:pStyle w:val="Compact"/>
            </w:pPr>
            <w:r>
              <w:t xml:space="preserve">Street revenue estimate</w:t>
            </w:r>
          </w:p>
        </w:tc>
        <w:tc>
          <w:tcPr/>
          <w:p>
            <w:pPr>
              <w:pStyle w:val="Compact"/>
              <w:jc w:val="right"/>
            </w:pPr>
            <w:r>
              <w:rPr>
                <w:b/>
                <w:bCs/>
              </w:rPr>
              <w:t xml:space="preserve">Approximately $905 million</w:t>
            </w:r>
          </w:p>
        </w:tc>
      </w:tr>
      <w:tr>
        <w:tc>
          <w:tcPr/>
          <w:p>
            <w:pPr>
              <w:pStyle w:val="Compact"/>
            </w:pPr>
            <w:r>
              <w:t xml:space="preserve">Q2 2025 revenue</w:t>
            </w:r>
          </w:p>
        </w:tc>
        <w:tc>
          <w:tcPr/>
          <w:p>
            <w:pPr>
              <w:pStyle w:val="Compact"/>
              <w:jc w:val="right"/>
            </w:pPr>
            <w:r>
              <w:rPr>
                <w:b/>
                <w:bCs/>
              </w:rPr>
              <w:t xml:space="preserve">$865.4 million</w:t>
            </w:r>
          </w:p>
        </w:tc>
      </w:tr>
      <w:tr>
        <w:tc>
          <w:tcPr/>
          <w:p>
            <w:pPr>
              <w:pStyle w:val="Compact"/>
            </w:pPr>
            <w:r>
              <w:t xml:space="preserve">Q2 2025 adjusted EPS</w:t>
            </w:r>
          </w:p>
        </w:tc>
        <w:tc>
          <w:tcPr/>
          <w:p>
            <w:pPr>
              <w:pStyle w:val="Compact"/>
              <w:jc w:val="right"/>
            </w:pPr>
            <w:r>
              <w:rPr>
                <w:b/>
                <w:bCs/>
              </w:rPr>
              <w:t xml:space="preserve">$2.07</w:t>
            </w:r>
          </w:p>
        </w:tc>
      </w:tr>
      <w:tr>
        <w:tc>
          <w:tcPr/>
          <w:p>
            <w:pPr>
              <w:pStyle w:val="Compact"/>
            </w:pPr>
            <w:r>
              <w:t xml:space="preserve">Q2 2025 adjusted EBITDA margin</w:t>
            </w:r>
          </w:p>
        </w:tc>
        <w:tc>
          <w:tcPr/>
          <w:p>
            <w:pPr>
              <w:pStyle w:val="Compact"/>
              <w:jc w:val="right"/>
            </w:pPr>
            <w:r>
              <w:rPr>
                <w:b/>
                <w:bCs/>
              </w:rPr>
              <w:t xml:space="preserve">27.4%</w:t>
            </w:r>
          </w:p>
        </w:tc>
      </w:tr>
      <w:tr>
        <w:tc>
          <w:tcPr/>
          <w:p>
            <w:pPr>
              <w:pStyle w:val="Compact"/>
            </w:pPr>
            <w:r>
              <w:t xml:space="preserve">FY2026 organic-sales guidance</w:t>
            </w:r>
          </w:p>
        </w:tc>
        <w:tc>
          <w:tcPr/>
          <w:p>
            <w:pPr>
              <w:pStyle w:val="Compact"/>
              <w:jc w:val="right"/>
            </w:pPr>
            <w:r>
              <w:rPr>
                <w:b/>
                <w:bCs/>
              </w:rPr>
              <w:t xml:space="preserve">+3% to +4%</w:t>
            </w:r>
          </w:p>
        </w:tc>
      </w:tr>
      <w:tr>
        <w:tc>
          <w:tcPr/>
          <w:p>
            <w:pPr>
              <w:pStyle w:val="Compact"/>
            </w:pPr>
            <w:r>
              <w:t xml:space="preserve">FY2026 adjusted EPS guidance</w:t>
            </w:r>
          </w:p>
        </w:tc>
        <w:tc>
          <w:tcPr/>
          <w:p>
            <w:pPr>
              <w:pStyle w:val="Compact"/>
              <w:jc w:val="right"/>
            </w:pPr>
            <w:r>
              <w:rPr>
                <w:b/>
                <w:bCs/>
              </w:rPr>
              <w:t xml:space="preserve">$8.35 to $8.55</w:t>
            </w:r>
          </w:p>
        </w:tc>
      </w:tr>
      <w:tr>
        <w:tc>
          <w:tcPr/>
          <w:p>
            <w:pPr>
              <w:pStyle w:val="Compact"/>
            </w:pPr>
            <w:r>
              <w:t xml:space="preserve">FY2026 consensus EPS</w:t>
            </w:r>
          </w:p>
        </w:tc>
        <w:tc>
          <w:tcPr/>
          <w:p>
            <w:pPr>
              <w:pStyle w:val="Compact"/>
              <w:jc w:val="right"/>
            </w:pPr>
            <w:r>
              <w:rPr>
                <w:b/>
                <w:bCs/>
              </w:rPr>
              <w:t xml:space="preserve">Approximately $8.48</w:t>
            </w:r>
          </w:p>
        </w:tc>
      </w:tr>
    </w:tbl>
    <w:p>
      <w:pPr>
        <w:pStyle w:val="BodyText"/>
      </w:pPr>
      <w:r>
        <w:t xml:space="preserve">Consensus sources place Q2 EPS near the high end of management’s range and revenue around $905 million. (</w:t>
      </w:r>
      <w:hyperlink r:id="rId12">
        <w:r>
          <w:rPr>
            <w:rStyle w:val="Hyperlink"/>
          </w:rPr>
          <w:t xml:space="preserve">benzinga.com</w:t>
        </w:r>
      </w:hyperlink>
      <w:r>
        <w:t xml:space="preserve">)</w:t>
      </w:r>
    </w:p>
    <w:p>
      <w:pPr>
        <w:pStyle w:val="BodyText"/>
      </w:pPr>
      <w:r>
        <w:t xml:space="preserve">Reported revenue around $905 million would imply roughly</w:t>
      </w:r>
      <w:r>
        <w:t xml:space="preserve"> </w:t>
      </w:r>
      <w:r>
        <w:rPr>
          <w:b/>
          <w:bCs/>
        </w:rPr>
        <w:t xml:space="preserve">5% year-over-year growth</w:t>
      </w:r>
      <w:r>
        <w:t xml:space="preserve">. That is consistent with management’s 3%–4% organic outlook plus acquisition and currency contributions.</w:t>
      </w:r>
    </w:p>
    <w:bookmarkEnd w:id="13"/>
    <w:bookmarkStart w:id="15" w:name="the-q1-starting-point"/>
    <w:p>
      <w:pPr>
        <w:pStyle w:val="Heading2"/>
      </w:pPr>
      <w:r>
        <w:t xml:space="preserve">The Q1 starting point</w:t>
      </w:r>
    </w:p>
    <w:p>
      <w:pPr>
        <w:pStyle w:val="FirstParagraph"/>
      </w:pPr>
      <w:r>
        <w:t xml:space="preserve">IDEX set a high bar in the first quarter:</w:t>
      </w:r>
    </w:p>
    <w:p>
      <w:pPr>
        <w:pStyle w:val="Compact"/>
        <w:numPr>
          <w:ilvl w:val="0"/>
          <w:numId w:val="1002"/>
        </w:numPr>
      </w:pPr>
      <w:r>
        <w:t xml:space="preserve">Revenue was</w:t>
      </w:r>
      <w:r>
        <w:t xml:space="preserve"> </w:t>
      </w:r>
      <w:r>
        <w:rPr>
          <w:b/>
          <w:bCs/>
        </w:rPr>
        <w:t xml:space="preserve">$886.9 million</w:t>
      </w:r>
      <w:r>
        <w:t xml:space="preserve">, up 9% reported and 5% organically.</w:t>
      </w:r>
    </w:p>
    <w:p>
      <w:pPr>
        <w:pStyle w:val="Compact"/>
        <w:numPr>
          <w:ilvl w:val="0"/>
          <w:numId w:val="1002"/>
        </w:numPr>
      </w:pPr>
      <w:r>
        <w:t xml:space="preserve">Adjusted EPS rose 14% to</w:t>
      </w:r>
      <w:r>
        <w:t xml:space="preserve"> </w:t>
      </w:r>
      <w:r>
        <w:rPr>
          <w:b/>
          <w:bCs/>
        </w:rPr>
        <w:t xml:space="preserve">$2.00</w:t>
      </w:r>
      <w:r>
        <w:t xml:space="preserve">.</w:t>
      </w:r>
    </w:p>
    <w:p>
      <w:pPr>
        <w:pStyle w:val="Compact"/>
        <w:numPr>
          <w:ilvl w:val="0"/>
          <w:numId w:val="1002"/>
        </w:numPr>
      </w:pPr>
      <w:r>
        <w:t xml:space="preserve">Adjusted EBITDA margin expanded 50 basis points to</w:t>
      </w:r>
      <w:r>
        <w:t xml:space="preserve"> </w:t>
      </w:r>
      <w:r>
        <w:rPr>
          <w:b/>
          <w:bCs/>
        </w:rPr>
        <w:t xml:space="preserve">26.0%</w:t>
      </w:r>
      <w:r>
        <w:t xml:space="preserve">.</w:t>
      </w:r>
    </w:p>
    <w:p>
      <w:pPr>
        <w:pStyle w:val="Compact"/>
        <w:numPr>
          <w:ilvl w:val="0"/>
          <w:numId w:val="1002"/>
        </w:numPr>
      </w:pPr>
      <w:r>
        <w:t xml:space="preserve">Orders reached a record</w:t>
      </w:r>
      <w:r>
        <w:t xml:space="preserve"> </w:t>
      </w:r>
      <w:r>
        <w:rPr>
          <w:b/>
          <w:bCs/>
        </w:rPr>
        <w:t xml:space="preserve">$988 million</w:t>
      </w:r>
      <w:r>
        <w:t xml:space="preserve">, up 10% organically.</w:t>
      </w:r>
    </w:p>
    <w:p>
      <w:pPr>
        <w:pStyle w:val="Compact"/>
        <w:numPr>
          <w:ilvl w:val="0"/>
          <w:numId w:val="1002"/>
        </w:numPr>
      </w:pPr>
      <w:r>
        <w:t xml:space="preserve">The company raised FY2026 organic-growth guidance to 3%–4% from 1%–2%.</w:t>
      </w:r>
    </w:p>
    <w:p>
      <w:pPr>
        <w:pStyle w:val="Compact"/>
        <w:numPr>
          <w:ilvl w:val="0"/>
          <w:numId w:val="1002"/>
        </w:numPr>
      </w:pPr>
      <w:r>
        <w:t xml:space="preserve">Full-year adjusted EPS guidance increased by $0.20 to</w:t>
      </w:r>
      <w:r>
        <w:t xml:space="preserve"> </w:t>
      </w:r>
      <m:oMath>
        <m:r>
          <m:t>8.35</m:t>
        </m:r>
        <m:r>
          <m:rPr>
            <m:sty m:val="p"/>
          </m:rPr>
          <m:t>–</m:t>
        </m:r>
      </m:oMath>
      <w:r>
        <w:t xml:space="preserve">8.55. (</w:t>
      </w:r>
      <w:hyperlink r:id="rId14">
        <w:r>
          <w:rPr>
            <w:rStyle w:val="Hyperlink"/>
          </w:rPr>
          <w:t xml:space="preserve">investors.idexcorp.com</w:t>
        </w:r>
      </w:hyperlink>
      <w:r>
        <w:t xml:space="preserve">)</w:t>
      </w:r>
    </w:p>
    <w:p>
      <w:pPr>
        <w:pStyle w:val="FirstParagraph"/>
      </w:pPr>
      <w:r>
        <w:t xml:space="preserve">The Q1 book-to-bill ratio was approximately</w:t>
      </w:r>
      <w:r>
        <w:t xml:space="preserve"> </w:t>
      </w:r>
      <w:r>
        <w:rPr>
          <w:b/>
          <w:bCs/>
        </w:rPr>
        <w:t xml:space="preserve">1.11</w:t>
      </w:r>
      <w:r>
        <w:t xml:space="preserve">, with order strength concentrated in HST. That backlog build gave management more confidence in the full-year outlook, but it also means investors will be sensitive to any Q2 order deceleration.</w:t>
      </w:r>
    </w:p>
    <w:p>
      <w:r>
        <w:pict>
          <v:rect style="width:0;height:1.5pt" o:hralign="center" o:hrstd="t" o:hr="t"/>
        </w:pict>
      </w:r>
    </w:p>
    <w:bookmarkEnd w:id="15"/>
    <w:bookmarkStart w:id="18" w:name="X21dd9d73f12df0a077185ca94b8264112fc8799"/>
    <w:p>
      <w:pPr>
        <w:pStyle w:val="Heading2"/>
      </w:pPr>
      <w:r>
        <w:t xml:space="preserve">1. HST is the primary earnings driver</w:t>
      </w:r>
    </w:p>
    <w:p>
      <w:pPr>
        <w:pStyle w:val="FirstParagraph"/>
      </w:pPr>
      <w:r>
        <w:t xml:space="preserve">Health &amp; Science Technologies accounted for approximately 45% of Q1 revenue and produced the company’s strongest growth:</w:t>
      </w:r>
    </w:p>
    <w:p>
      <w:pPr>
        <w:pStyle w:val="Compact"/>
        <w:numPr>
          <w:ilvl w:val="0"/>
          <w:numId w:val="1003"/>
        </w:numPr>
      </w:pPr>
      <w:r>
        <w:t xml:space="preserve">Q1 organic revenue:</w:t>
      </w:r>
      <w:r>
        <w:t xml:space="preserve"> </w:t>
      </w:r>
      <w:r>
        <w:rPr>
          <w:b/>
          <w:bCs/>
        </w:rPr>
        <w:t xml:space="preserve">+11%</w:t>
      </w:r>
    </w:p>
    <w:p>
      <w:pPr>
        <w:pStyle w:val="Compact"/>
        <w:numPr>
          <w:ilvl w:val="0"/>
          <w:numId w:val="1003"/>
        </w:numPr>
      </w:pPr>
      <w:r>
        <w:t xml:space="preserve">Q1 organic orders:</w:t>
      </w:r>
      <w:r>
        <w:t xml:space="preserve"> </w:t>
      </w:r>
      <w:r>
        <w:rPr>
          <w:b/>
          <w:bCs/>
        </w:rPr>
        <w:t xml:space="preserve">+17%</w:t>
      </w:r>
    </w:p>
    <w:p>
      <w:pPr>
        <w:pStyle w:val="Compact"/>
        <w:numPr>
          <w:ilvl w:val="0"/>
          <w:numId w:val="1003"/>
        </w:numPr>
      </w:pPr>
      <w:r>
        <w:t xml:space="preserve">Q1 adjusted EBITDA margin:</w:t>
      </w:r>
      <w:r>
        <w:t xml:space="preserve"> </w:t>
      </w:r>
      <w:r>
        <w:rPr>
          <w:b/>
          <w:bCs/>
        </w:rPr>
        <w:t xml:space="preserve">26.6%, up 100 basis points</w:t>
      </w:r>
    </w:p>
    <w:p>
      <w:pPr>
        <w:pStyle w:val="FirstParagraph"/>
      </w:pPr>
      <w:r>
        <w:t xml:space="preserve">Growth was broad across several advantaged markets:</w:t>
      </w:r>
    </w:p>
    <w:p>
      <w:pPr>
        <w:pStyle w:val="Compact"/>
        <w:numPr>
          <w:ilvl w:val="0"/>
          <w:numId w:val="1004"/>
        </w:numPr>
      </w:pPr>
      <w:r>
        <w:t xml:space="preserve">Semiconductor original equipment and consumables;</w:t>
      </w:r>
    </w:p>
    <w:p>
      <w:pPr>
        <w:pStyle w:val="Compact"/>
        <w:numPr>
          <w:ilvl w:val="0"/>
          <w:numId w:val="1004"/>
        </w:numPr>
      </w:pPr>
      <w:r>
        <w:t xml:space="preserve">Data-center power generation and thermal management;</w:t>
      </w:r>
    </w:p>
    <w:p>
      <w:pPr>
        <w:pStyle w:val="Compact"/>
        <w:numPr>
          <w:ilvl w:val="0"/>
          <w:numId w:val="1004"/>
        </w:numPr>
      </w:pPr>
      <w:r>
        <w:t xml:space="preserve">Optical switching;</w:t>
      </w:r>
    </w:p>
    <w:p>
      <w:pPr>
        <w:pStyle w:val="Compact"/>
        <w:numPr>
          <w:ilvl w:val="0"/>
          <w:numId w:val="1004"/>
        </w:numPr>
      </w:pPr>
      <w:r>
        <w:t xml:space="preserve">Space and defense;</w:t>
      </w:r>
    </w:p>
    <w:p>
      <w:pPr>
        <w:pStyle w:val="Compact"/>
        <w:numPr>
          <w:ilvl w:val="0"/>
          <w:numId w:val="1004"/>
        </w:numPr>
      </w:pPr>
      <w:r>
        <w:t xml:space="preserve">Pharmaceutical applications.</w:t>
      </w:r>
    </w:p>
    <w:p>
      <w:pPr>
        <w:pStyle w:val="FirstParagraph"/>
      </w:pPr>
      <w:r>
        <w:t xml:space="preserve">Management indicated that HST’s order book provides visibility not only through the remainder of 2026 but into 2027. Customers in these markets are providing longer-range forecasts because they need IDEX to prepare capacity, labor, and materials for ramping programs.</w:t>
      </w:r>
    </w:p>
    <w:bookmarkStart w:id="16" w:name="what-would-constitute-a-good-hst-quarter"/>
    <w:p>
      <w:pPr>
        <w:pStyle w:val="Heading3"/>
      </w:pPr>
      <w:r>
        <w:t xml:space="preserve">What would constitute a good HST quarter?</w:t>
      </w:r>
    </w:p>
    <w:p>
      <w:pPr>
        <w:pStyle w:val="FirstParagraph"/>
      </w:pPr>
      <w:r>
        <w:t xml:space="preserve">A strong report would likely include:</w:t>
      </w:r>
    </w:p>
    <w:p>
      <w:pPr>
        <w:pStyle w:val="Compact"/>
        <w:numPr>
          <w:ilvl w:val="0"/>
          <w:numId w:val="1005"/>
        </w:numPr>
      </w:pPr>
      <w:r>
        <w:t xml:space="preserve">Organic growth remaining in the high-single-digit to low-double-digit range;</w:t>
      </w:r>
    </w:p>
    <w:p>
      <w:pPr>
        <w:pStyle w:val="Compact"/>
        <w:numPr>
          <w:ilvl w:val="0"/>
          <w:numId w:val="1005"/>
        </w:numPr>
      </w:pPr>
      <w:r>
        <w:t xml:space="preserve">Orders at least keeping pace with sales;</w:t>
      </w:r>
    </w:p>
    <w:p>
      <w:pPr>
        <w:pStyle w:val="Compact"/>
        <w:numPr>
          <w:ilvl w:val="0"/>
          <w:numId w:val="1005"/>
        </w:numPr>
      </w:pPr>
      <w:r>
        <w:t xml:space="preserve">Continued strength across multiple applications rather than one large program;</w:t>
      </w:r>
    </w:p>
    <w:p>
      <w:pPr>
        <w:pStyle w:val="Compact"/>
        <w:numPr>
          <w:ilvl w:val="0"/>
          <w:numId w:val="1005"/>
        </w:numPr>
      </w:pPr>
      <w:r>
        <w:t xml:space="preserve">HST margin expansion despite unfavorable acquisition mix;</w:t>
      </w:r>
    </w:p>
    <w:p>
      <w:pPr>
        <w:pStyle w:val="Compact"/>
        <w:numPr>
          <w:ilvl w:val="0"/>
          <w:numId w:val="1005"/>
        </w:numPr>
      </w:pPr>
      <w:r>
        <w:t xml:space="preserve">Confirmation that customer schedules have not been pushed out.</w:t>
      </w:r>
    </w:p>
    <w:bookmarkEnd w:id="16"/>
    <w:bookmarkStart w:id="17" w:name="margin-conversion-is-the-key-nuance"/>
    <w:p>
      <w:pPr>
        <w:pStyle w:val="Heading3"/>
      </w:pPr>
      <w:r>
        <w:t xml:space="preserve">Margin conversion is the key nuance</w:t>
      </w:r>
    </w:p>
    <w:p>
      <w:pPr>
        <w:pStyle w:val="FirstParagraph"/>
      </w:pPr>
      <w:r>
        <w:t xml:space="preserve">IDEX’s recent acquisitions—particularly Mott, Muon, and Micro-LAM—are contributing to growth but remain below the HST segment’s longer-term margin potential. Management expects 8020 portfolio work, business pruning, and operating leverage to improve their profitability.</w:t>
      </w:r>
    </w:p>
    <w:p>
      <w:pPr>
        <w:pStyle w:val="BodyText"/>
      </w:pPr>
      <w:r>
        <w:t xml:space="preserve">HST’s incremental EBITDA margin has recently been in the low-to-mid-30% range. Management has suggested it could move closer to 40% over time, but not necessarily during 2026. Investors should therefore distinguish between:</w:t>
      </w:r>
    </w:p>
    <w:p>
      <w:pPr>
        <w:pStyle w:val="Compact"/>
        <w:numPr>
          <w:ilvl w:val="0"/>
          <w:numId w:val="1006"/>
        </w:numPr>
      </w:pPr>
      <w:r>
        <w:rPr>
          <w:b/>
          <w:bCs/>
        </w:rPr>
        <w:t xml:space="preserve">Strong revenue growth with weak mix</w:t>
      </w:r>
      <w:r>
        <w:t xml:space="preserve">, which may not drive much estimate upside; and</w:t>
      </w:r>
    </w:p>
    <w:p>
      <w:pPr>
        <w:pStyle w:val="Compact"/>
        <w:numPr>
          <w:ilvl w:val="0"/>
          <w:numId w:val="1006"/>
        </w:numPr>
      </w:pPr>
      <w:r>
        <w:rPr>
          <w:b/>
          <w:bCs/>
        </w:rPr>
        <w:t xml:space="preserve">Strong growth plus improving acquired-business margins</w:t>
      </w:r>
      <w:r>
        <w:t xml:space="preserve">, which would materially strengthen the earnings thesis.</w:t>
      </w:r>
    </w:p>
    <w:p>
      <w:r>
        <w:pict>
          <v:rect style="width:0;height:1.5pt" o:hralign="center" o:hrstd="t" o:hr="t"/>
        </w:pict>
      </w:r>
    </w:p>
    <w:bookmarkEnd w:id="17"/>
    <w:bookmarkEnd w:id="18"/>
    <w:bookmarkStart w:id="20" w:name="X868d79caf2247a7a48e226fcf53fb6005d1c29d"/>
    <w:p>
      <w:pPr>
        <w:pStyle w:val="Heading2"/>
      </w:pPr>
      <w:r>
        <w:t xml:space="preserve">2. FMT will determine whether growth is broadening</w:t>
      </w:r>
    </w:p>
    <w:p>
      <w:pPr>
        <w:pStyle w:val="FirstParagraph"/>
      </w:pPr>
      <w:r>
        <w:t xml:space="preserve">Fluid &amp; Metering Technologies was mixed in Q1:</w:t>
      </w:r>
    </w:p>
    <w:p>
      <w:pPr>
        <w:pStyle w:val="Compact"/>
        <w:numPr>
          <w:ilvl w:val="0"/>
          <w:numId w:val="1007"/>
        </w:numPr>
      </w:pPr>
      <w:r>
        <w:t xml:space="preserve">Organic revenue increased</w:t>
      </w:r>
      <w:r>
        <w:t xml:space="preserve"> </w:t>
      </w:r>
      <w:r>
        <w:rPr>
          <w:b/>
          <w:bCs/>
        </w:rPr>
        <w:t xml:space="preserve">2%</w:t>
      </w:r>
      <w:r>
        <w:t xml:space="preserve">;</w:t>
      </w:r>
    </w:p>
    <w:p>
      <w:pPr>
        <w:pStyle w:val="Compact"/>
        <w:numPr>
          <w:ilvl w:val="0"/>
          <w:numId w:val="1007"/>
        </w:numPr>
      </w:pPr>
      <w:r>
        <w:t xml:space="preserve">Organic orders increased</w:t>
      </w:r>
      <w:r>
        <w:t xml:space="preserve"> </w:t>
      </w:r>
      <w:r>
        <w:rPr>
          <w:b/>
          <w:bCs/>
        </w:rPr>
        <w:t xml:space="preserve">9%</w:t>
      </w:r>
      <w:r>
        <w:t xml:space="preserve">;</w:t>
      </w:r>
    </w:p>
    <w:p>
      <w:pPr>
        <w:pStyle w:val="Compact"/>
        <w:numPr>
          <w:ilvl w:val="0"/>
          <w:numId w:val="1007"/>
        </w:numPr>
      </w:pPr>
      <w:r>
        <w:t xml:space="preserve">Adjusted EBITDA margin declined 10 basis points to</w:t>
      </w:r>
      <w:r>
        <w:t xml:space="preserve"> </w:t>
      </w:r>
      <w:r>
        <w:rPr>
          <w:b/>
          <w:bCs/>
        </w:rPr>
        <w:t xml:space="preserve">32.7%</w:t>
      </w:r>
      <w:r>
        <w:t xml:space="preserve">.</w:t>
      </w:r>
    </w:p>
    <w:p>
      <w:pPr>
        <w:pStyle w:val="FirstParagraph"/>
      </w:pPr>
      <w:r>
        <w:t xml:space="preserve">The strongest areas were municipal water, high-purity water used in semiconductor applications, mining, and pumps. Chemical markets and parts of general industrial demand remained soft.</w:t>
      </w:r>
    </w:p>
    <w:p>
      <w:pPr>
        <w:pStyle w:val="BodyText"/>
      </w:pPr>
      <w:r>
        <w:t xml:space="preserve">Management characterized short-cycle trends as improving through Q1: January was weak, February improved, March was stronger, and April held around the March level. However, not all of IDEX’s industrial “diagnostic” businesses were improving together, preventing management from declaring a broad cyclical inflection.</w:t>
      </w:r>
    </w:p>
    <w:bookmarkStart w:id="19" w:name="the-most-important-fmt-questions"/>
    <w:p>
      <w:pPr>
        <w:pStyle w:val="Heading3"/>
      </w:pPr>
      <w:r>
        <w:t xml:space="preserve">The most important FMT questions</w:t>
      </w:r>
    </w:p>
    <w:p>
      <w:pPr>
        <w:pStyle w:val="Compact"/>
        <w:numPr>
          <w:ilvl w:val="0"/>
          <w:numId w:val="1008"/>
        </w:numPr>
      </w:pPr>
      <w:r>
        <w:t xml:space="preserve">Did the stronger March and April order pace continue through Q2?</w:t>
      </w:r>
    </w:p>
    <w:p>
      <w:pPr>
        <w:pStyle w:val="Compact"/>
        <w:numPr>
          <w:ilvl w:val="0"/>
          <w:numId w:val="1008"/>
        </w:numPr>
      </w:pPr>
      <w:r>
        <w:t xml:space="preserve">Is FMT’s Q1 order growth converting to revenue, or did it include pull-forward from Q2?</w:t>
      </w:r>
    </w:p>
    <w:p>
      <w:pPr>
        <w:pStyle w:val="Compact"/>
        <w:numPr>
          <w:ilvl w:val="0"/>
          <w:numId w:val="1008"/>
        </w:numPr>
      </w:pPr>
      <w:r>
        <w:t xml:space="preserve">Are chemical end markets stabilizing?</w:t>
      </w:r>
    </w:p>
    <w:p>
      <w:pPr>
        <w:pStyle w:val="Compact"/>
        <w:numPr>
          <w:ilvl w:val="0"/>
          <w:numId w:val="1008"/>
        </w:numPr>
      </w:pPr>
      <w:r>
        <w:t xml:space="preserve">Is municipal water maintaining high-single-digit growth?</w:t>
      </w:r>
    </w:p>
    <w:p>
      <w:pPr>
        <w:pStyle w:val="Compact"/>
        <w:numPr>
          <w:ilvl w:val="0"/>
          <w:numId w:val="1008"/>
        </w:numPr>
      </w:pPr>
      <w:r>
        <w:t xml:space="preserve">Are data-center, grid, energy, and semiconductor projects beginning to lift the broader pumps and valves portfolio?</w:t>
      </w:r>
    </w:p>
    <w:p>
      <w:pPr>
        <w:pStyle w:val="FirstParagraph"/>
      </w:pPr>
      <w:r>
        <w:t xml:space="preserve">Management’s full-year outlook assumes roughly flat FMT organic growth. Consequently, even modest positive growth in the second half could provide upside to current guidance. Conversely, a weak order result would reinforce the view that Q1 strength was timing-related rather than the start of a broader recovery.</w:t>
      </w:r>
    </w:p>
    <w:p>
      <w:r>
        <w:pict>
          <v:rect style="width:0;height:1.5pt" o:hralign="center" o:hrstd="t" o:hr="t"/>
        </w:pict>
      </w:r>
    </w:p>
    <w:bookmarkEnd w:id="19"/>
    <w:bookmarkEnd w:id="20"/>
    <w:bookmarkStart w:id="21" w:name="X8b807ba952df5391c816e196642837185dcbeb0"/>
    <w:p>
      <w:pPr>
        <w:pStyle w:val="Heading2"/>
      </w:pPr>
      <w:r>
        <w:t xml:space="preserve">3. FSDP needs stability more than acceleration</w:t>
      </w:r>
    </w:p>
    <w:p>
      <w:pPr>
        <w:pStyle w:val="FirstParagraph"/>
      </w:pPr>
      <w:r>
        <w:t xml:space="preserve">Fire &amp; Safety/Diversified Products posted:</w:t>
      </w:r>
    </w:p>
    <w:p>
      <w:pPr>
        <w:pStyle w:val="Compact"/>
        <w:numPr>
          <w:ilvl w:val="0"/>
          <w:numId w:val="1009"/>
        </w:numPr>
      </w:pPr>
      <w:r>
        <w:t xml:space="preserve">Q1 organic revenue of</w:t>
      </w:r>
      <w:r>
        <w:t xml:space="preserve"> </w:t>
      </w:r>
      <w:r>
        <w:rPr>
          <w:b/>
          <w:bCs/>
        </w:rPr>
        <w:t xml:space="preserve">-1%</w:t>
      </w:r>
      <w:r>
        <w:t xml:space="preserve">;</w:t>
      </w:r>
    </w:p>
    <w:p>
      <w:pPr>
        <w:pStyle w:val="Compact"/>
        <w:numPr>
          <w:ilvl w:val="0"/>
          <w:numId w:val="1009"/>
        </w:numPr>
      </w:pPr>
      <w:r>
        <w:t xml:space="preserve">Q1 organic orders of</w:t>
      </w:r>
      <w:r>
        <w:t xml:space="preserve"> </w:t>
      </w:r>
      <w:r>
        <w:rPr>
          <w:b/>
          <w:bCs/>
        </w:rPr>
        <w:t xml:space="preserve">-4%</w:t>
      </w:r>
      <w:r>
        <w:t xml:space="preserve">;</w:t>
      </w:r>
    </w:p>
    <w:p>
      <w:pPr>
        <w:pStyle w:val="Compact"/>
        <w:numPr>
          <w:ilvl w:val="0"/>
          <w:numId w:val="1009"/>
        </w:numPr>
      </w:pPr>
      <w:r>
        <w:t xml:space="preserve">Adjusted EBITDA margin of</w:t>
      </w:r>
      <w:r>
        <w:t xml:space="preserve"> </w:t>
      </w:r>
      <w:r>
        <w:rPr>
          <w:b/>
          <w:bCs/>
        </w:rPr>
        <w:t xml:space="preserve">29.7%, up 30 basis points</w:t>
      </w:r>
      <w:r>
        <w:t xml:space="preserve">.</w:t>
      </w:r>
    </w:p>
    <w:p>
      <w:pPr>
        <w:pStyle w:val="FirstParagraph"/>
      </w:pPr>
      <w:r>
        <w:t xml:space="preserve">North American fire-and-rescue demand remained strong, and Europe had returned to a more normal level. Those positives were offset by lower dispensing-project volumes and difficult comparisons.</w:t>
      </w:r>
    </w:p>
    <w:p>
      <w:pPr>
        <w:pStyle w:val="BodyText"/>
      </w:pPr>
      <w:r>
        <w:t xml:space="preserve">The full-year FSDP outlook is approximately flat. The likely success criteria are therefore modest:</w:t>
      </w:r>
    </w:p>
    <w:p>
      <w:pPr>
        <w:pStyle w:val="Compact"/>
        <w:numPr>
          <w:ilvl w:val="0"/>
          <w:numId w:val="1010"/>
        </w:numPr>
      </w:pPr>
      <w:r>
        <w:t xml:space="preserve">Fire &amp; Safety continues to grow;</w:t>
      </w:r>
    </w:p>
    <w:p>
      <w:pPr>
        <w:pStyle w:val="Compact"/>
        <w:numPr>
          <w:ilvl w:val="0"/>
          <w:numId w:val="1010"/>
        </w:numPr>
      </w:pPr>
      <w:r>
        <w:t xml:space="preserve">Dispensing stabilizes sequentially;</w:t>
      </w:r>
    </w:p>
    <w:p>
      <w:pPr>
        <w:pStyle w:val="Compact"/>
        <w:numPr>
          <w:ilvl w:val="0"/>
          <w:numId w:val="1010"/>
        </w:numPr>
      </w:pPr>
      <w:r>
        <w:t xml:space="preserve">Orders stop declining;</w:t>
      </w:r>
    </w:p>
    <w:p>
      <w:pPr>
        <w:pStyle w:val="Compact"/>
        <w:numPr>
          <w:ilvl w:val="0"/>
          <w:numId w:val="1010"/>
        </w:numPr>
      </w:pPr>
      <w:r>
        <w:t xml:space="preserve">Productivity protects the segment’s roughly 30% margin.</w:t>
      </w:r>
    </w:p>
    <w:p>
      <w:pPr>
        <w:pStyle w:val="FirstParagraph"/>
      </w:pPr>
      <w:r>
        <w:t xml:space="preserve">A material FSDP recovery is not embedded in guidance, but additional weakness—particularly in dispensing—could offset upside elsewhere.</w:t>
      </w:r>
    </w:p>
    <w:p>
      <w:r>
        <w:pict>
          <v:rect style="width:0;height:1.5pt" o:hralign="center" o:hrstd="t" o:hr="t"/>
        </w:pict>
      </w:r>
    </w:p>
    <w:bookmarkEnd w:id="21"/>
    <w:bookmarkStart w:id="22" w:name="Xb03dc07d15b52b457aecf48177f9e46259051bf"/>
    <w:p>
      <w:pPr>
        <w:pStyle w:val="Heading2"/>
      </w:pPr>
      <w:r>
        <w:t xml:space="preserve">4. Consolidated margins may be the swing factor</w:t>
      </w:r>
    </w:p>
    <w:p>
      <w:pPr>
        <w:pStyle w:val="FirstParagraph"/>
      </w:pPr>
      <w:r>
        <w:t xml:space="preserve">Q2 adjusted EBITDA-margin guidance of</w:t>
      </w:r>
      <w:r>
        <w:t xml:space="preserve"> </w:t>
      </w:r>
      <w:r>
        <w:rPr>
          <w:b/>
          <w:bCs/>
        </w:rPr>
        <w:t xml:space="preserve">26.5%–27.0%</w:t>
      </w:r>
      <w:r>
        <w:t xml:space="preserve"> </w:t>
      </w:r>
      <w:r>
        <w:t xml:space="preserve">compares with</w:t>
      </w:r>
      <w:r>
        <w:t xml:space="preserve"> </w:t>
      </w:r>
      <w:r>
        <w:rPr>
          <w:b/>
          <w:bCs/>
        </w:rPr>
        <w:t xml:space="preserve">27.4% in Q2 2025</w:t>
      </w:r>
      <w:r>
        <w:t xml:space="preserve">, implying a year-over-year decline of 40–90 basis points even with higher revenue.</w:t>
      </w:r>
    </w:p>
    <w:p>
      <w:pPr>
        <w:pStyle w:val="BodyText"/>
      </w:pPr>
      <w:r>
        <w:t xml:space="preserve">That apparent disconnect reflects several factors:</w:t>
      </w:r>
    </w:p>
    <w:p>
      <w:pPr>
        <w:pStyle w:val="Compact"/>
        <w:numPr>
          <w:ilvl w:val="0"/>
          <w:numId w:val="1011"/>
        </w:numPr>
      </w:pPr>
      <w:r>
        <w:t xml:space="preserve">Growth is concentrated in acquired HST businesses with below-segment-average margins;</w:t>
      </w:r>
    </w:p>
    <w:p>
      <w:pPr>
        <w:pStyle w:val="Compact"/>
        <w:numPr>
          <w:ilvl w:val="0"/>
          <w:numId w:val="1011"/>
        </w:numPr>
      </w:pPr>
      <w:r>
        <w:t xml:space="preserve">Mix within HST remains unfavorable;</w:t>
      </w:r>
    </w:p>
    <w:p>
      <w:pPr>
        <w:pStyle w:val="Compact"/>
        <w:numPr>
          <w:ilvl w:val="0"/>
          <w:numId w:val="1011"/>
        </w:numPr>
      </w:pPr>
      <w:r>
        <w:t xml:space="preserve">FMT and FSDP have limited volume leverage under the company’s flat-growth assumptions;</w:t>
      </w:r>
    </w:p>
    <w:p>
      <w:pPr>
        <w:pStyle w:val="Compact"/>
        <w:numPr>
          <w:ilvl w:val="0"/>
          <w:numId w:val="1011"/>
        </w:numPr>
      </w:pPr>
      <w:r>
        <w:t xml:space="preserve">Corporate costs were unusually low in Q2 2025 relative to Q1 2026;</w:t>
      </w:r>
    </w:p>
    <w:p>
      <w:pPr>
        <w:pStyle w:val="Compact"/>
        <w:numPr>
          <w:ilvl w:val="0"/>
          <w:numId w:val="1011"/>
        </w:numPr>
      </w:pPr>
      <w:r>
        <w:t xml:space="preserve">Growth investments and employee-related costs may absorb some productivity gains.</w:t>
      </w:r>
    </w:p>
    <w:p>
      <w:pPr>
        <w:pStyle w:val="FirstParagraph"/>
      </w:pPr>
      <w:r>
        <w:t xml:space="preserve">An adjusted EBITDA margin above 27% would be a meaningful positive because it would suggest that productivity, price/cost, and operating leverage are overcoming mix pressure faster than expected.</w:t>
      </w:r>
    </w:p>
    <w:p>
      <w:pPr>
        <w:pStyle w:val="BodyText"/>
      </w:pPr>
      <w:r>
        <w:t xml:space="preserve">Conversely, revenue upside accompanied by margins below guidance would be lower-quality growth and may not support a positive stock reaction.</w:t>
      </w:r>
    </w:p>
    <w:p>
      <w:r>
        <w:pict>
          <v:rect style="width:0;height:1.5pt" o:hralign="center" o:hrstd="t" o:hr="t"/>
        </w:pict>
      </w:r>
    </w:p>
    <w:bookmarkEnd w:id="22"/>
    <w:bookmarkStart w:id="26" w:name="X9c3a2b258a59cfbc2bdd64f57494f94fc137f90"/>
    <w:p>
      <w:pPr>
        <w:pStyle w:val="Heading2"/>
      </w:pPr>
      <w:r>
        <w:t xml:space="preserve">5. Orders and backlog may matter more than the reported EPS beat</w:t>
      </w:r>
    </w:p>
    <w:p>
      <w:pPr>
        <w:pStyle w:val="FirstParagraph"/>
      </w:pPr>
      <w:r>
        <w:t xml:space="preserve">IDEX often enters a quarter only about 50% booked, especially in the faster-turn FMT and FSDP businesses. This makes current orders an important indicator of near-term direction.</w:t>
      </w:r>
    </w:p>
    <w:p>
      <w:pPr>
        <w:pStyle w:val="BodyText"/>
      </w:pPr>
      <w:r>
        <w:t xml:space="preserve">Investors should focus on:</w:t>
      </w:r>
    </w:p>
    <w:bookmarkStart w:id="23" w:name="hst"/>
    <w:p>
      <w:pPr>
        <w:pStyle w:val="Heading3"/>
      </w:pPr>
      <w:r>
        <w:t xml:space="preserve">HST</w:t>
      </w:r>
    </w:p>
    <w:p>
      <w:pPr>
        <w:pStyle w:val="Compact"/>
        <w:numPr>
          <w:ilvl w:val="0"/>
          <w:numId w:val="1012"/>
        </w:numPr>
      </w:pPr>
      <w:r>
        <w:t xml:space="preserve">Whether orders remain double-digit;</w:t>
      </w:r>
    </w:p>
    <w:p>
      <w:pPr>
        <w:pStyle w:val="Compact"/>
        <w:numPr>
          <w:ilvl w:val="0"/>
          <w:numId w:val="1012"/>
        </w:numPr>
      </w:pPr>
      <w:r>
        <w:t xml:space="preserve">Backlog growth versus Q1;</w:t>
      </w:r>
    </w:p>
    <w:p>
      <w:pPr>
        <w:pStyle w:val="Compact"/>
        <w:numPr>
          <w:ilvl w:val="0"/>
          <w:numId w:val="1012"/>
        </w:numPr>
      </w:pPr>
      <w:r>
        <w:t xml:space="preserve">Customer schedule changes in data centers and semiconductors;</w:t>
      </w:r>
    </w:p>
    <w:p>
      <w:pPr>
        <w:pStyle w:val="Compact"/>
        <w:numPr>
          <w:ilvl w:val="0"/>
          <w:numId w:val="1012"/>
        </w:numPr>
      </w:pPr>
      <w:r>
        <w:t xml:space="preserve">Visibility into 2027 space and defense programs.</w:t>
      </w:r>
    </w:p>
    <w:bookmarkEnd w:id="23"/>
    <w:bookmarkStart w:id="24" w:name="fmt"/>
    <w:p>
      <w:pPr>
        <w:pStyle w:val="Heading3"/>
      </w:pPr>
      <w:r>
        <w:t xml:space="preserve">FMT</w:t>
      </w:r>
    </w:p>
    <w:p>
      <w:pPr>
        <w:pStyle w:val="Compact"/>
        <w:numPr>
          <w:ilvl w:val="0"/>
          <w:numId w:val="1013"/>
        </w:numPr>
      </w:pPr>
      <w:r>
        <w:t xml:space="preserve">Whether orders again materially outpace sales;</w:t>
      </w:r>
    </w:p>
    <w:p>
      <w:pPr>
        <w:pStyle w:val="Compact"/>
        <w:numPr>
          <w:ilvl w:val="0"/>
          <w:numId w:val="1013"/>
        </w:numPr>
      </w:pPr>
      <w:r>
        <w:t xml:space="preserve">The breadth of industrial improvement;</w:t>
      </w:r>
    </w:p>
    <w:p>
      <w:pPr>
        <w:pStyle w:val="Compact"/>
        <w:numPr>
          <w:ilvl w:val="0"/>
          <w:numId w:val="1013"/>
        </w:numPr>
      </w:pPr>
      <w:r>
        <w:t xml:space="preserve">Potential Q1 pull-forward;</w:t>
      </w:r>
    </w:p>
    <w:p>
      <w:pPr>
        <w:pStyle w:val="Compact"/>
        <w:numPr>
          <w:ilvl w:val="0"/>
          <w:numId w:val="1013"/>
        </w:numPr>
      </w:pPr>
      <w:r>
        <w:t xml:space="preserve">Chemical and traditional energy demand.</w:t>
      </w:r>
    </w:p>
    <w:bookmarkEnd w:id="24"/>
    <w:bookmarkStart w:id="25" w:name="fsdp"/>
    <w:p>
      <w:pPr>
        <w:pStyle w:val="Heading3"/>
      </w:pPr>
      <w:r>
        <w:t xml:space="preserve">FSDP</w:t>
      </w:r>
    </w:p>
    <w:p>
      <w:pPr>
        <w:pStyle w:val="Compact"/>
        <w:numPr>
          <w:ilvl w:val="0"/>
          <w:numId w:val="1014"/>
        </w:numPr>
      </w:pPr>
      <w:r>
        <w:t xml:space="preserve">Whether order declines moderate;</w:t>
      </w:r>
    </w:p>
    <w:p>
      <w:pPr>
        <w:pStyle w:val="Compact"/>
        <w:numPr>
          <w:ilvl w:val="0"/>
          <w:numId w:val="1014"/>
        </w:numPr>
      </w:pPr>
      <w:r>
        <w:t xml:space="preserve">The timing of dispensing projects;</w:t>
      </w:r>
    </w:p>
    <w:p>
      <w:pPr>
        <w:pStyle w:val="Compact"/>
        <w:numPr>
          <w:ilvl w:val="0"/>
          <w:numId w:val="1014"/>
        </w:numPr>
      </w:pPr>
      <w:r>
        <w:t xml:space="preserve">Fire-and-rescue municipal spending.</w:t>
      </w:r>
    </w:p>
    <w:p>
      <w:pPr>
        <w:pStyle w:val="FirstParagraph"/>
      </w:pPr>
      <w:r>
        <w:t xml:space="preserve">A modest EPS beat with weakening orders could be poorly received. An in-line quarter with another strong backlog build could be more valuable for the longer-term earnings outlook.</w:t>
      </w:r>
    </w:p>
    <w:p>
      <w:r>
        <w:pict>
          <v:rect style="width:0;height:1.5pt" o:hralign="center" o:hrstd="t" o:hr="t"/>
        </w:pict>
      </w:r>
    </w:p>
    <w:bookmarkEnd w:id="25"/>
    <w:bookmarkEnd w:id="26"/>
    <w:bookmarkStart w:id="30" w:name="X3467785cc97f8dc2de8768804584ce6d368e5a9"/>
    <w:p>
      <w:pPr>
        <w:pStyle w:val="Heading2"/>
      </w:pPr>
      <w:r>
        <w:t xml:space="preserve">6. Full-year guidance: reiteration is the base case</w:t>
      </w:r>
    </w:p>
    <w:p>
      <w:pPr>
        <w:pStyle w:val="FirstParagraph"/>
      </w:pPr>
      <w:r>
        <w:t xml:space="preserve">Management’s current FY2026 outlook is:</w:t>
      </w:r>
    </w:p>
    <w:p>
      <w:pPr>
        <w:pStyle w:val="Compact"/>
        <w:numPr>
          <w:ilvl w:val="0"/>
          <w:numId w:val="1015"/>
        </w:numPr>
      </w:pPr>
      <w:r>
        <w:t xml:space="preserve">Organic sales growth of</w:t>
      </w:r>
      <w:r>
        <w:t xml:space="preserve"> </w:t>
      </w:r>
      <w:r>
        <w:rPr>
          <w:b/>
          <w:bCs/>
        </w:rPr>
        <w:t xml:space="preserve">3%–4%</w:t>
      </w:r>
      <w:r>
        <w:t xml:space="preserve">;</w:t>
      </w:r>
    </w:p>
    <w:p>
      <w:pPr>
        <w:pStyle w:val="Compact"/>
        <w:numPr>
          <w:ilvl w:val="0"/>
          <w:numId w:val="1015"/>
        </w:numPr>
      </w:pPr>
      <w:r>
        <w:t xml:space="preserve">Adjusted EBITDA margin of</w:t>
      </w:r>
      <w:r>
        <w:t xml:space="preserve"> </w:t>
      </w:r>
      <w:r>
        <w:rPr>
          <w:b/>
          <w:bCs/>
        </w:rPr>
        <w:t xml:space="preserve">26.5%–27.0%</w:t>
      </w:r>
      <w:r>
        <w:t xml:space="preserve">;</w:t>
      </w:r>
    </w:p>
    <w:p>
      <w:pPr>
        <w:pStyle w:val="Compact"/>
        <w:numPr>
          <w:ilvl w:val="0"/>
          <w:numId w:val="1015"/>
        </w:numPr>
      </w:pPr>
      <w:r>
        <w:t xml:space="preserve">Adjusted EPS of</w:t>
      </w:r>
      <w:r>
        <w:t xml:space="preserve"> </w:t>
      </w:r>
      <m:oMath>
        <m:r>
          <m:t>8.35</m:t>
        </m:r>
        <m:r>
          <m:rPr>
            <m:sty m:val="p"/>
          </m:rPr>
          <m:t>–</m:t>
        </m:r>
      </m:oMath>
      <w:r>
        <w:rPr>
          <w:b/>
          <w:bCs/>
        </w:rPr>
        <w:t xml:space="preserve">8.55</w:t>
      </w:r>
      <w:r>
        <w:t xml:space="preserve">;</w:t>
      </w:r>
    </w:p>
    <w:p>
      <w:pPr>
        <w:pStyle w:val="Compact"/>
        <w:numPr>
          <w:ilvl w:val="0"/>
          <w:numId w:val="1015"/>
        </w:numPr>
      </w:pPr>
      <w:r>
        <w:t xml:space="preserve">Free-cash-flow conversion of at least</w:t>
      </w:r>
      <w:r>
        <w:t xml:space="preserve"> </w:t>
      </w:r>
      <w:r>
        <w:rPr>
          <w:b/>
          <w:bCs/>
        </w:rPr>
        <w:t xml:space="preserve">100%</w:t>
      </w:r>
      <w:r>
        <w:t xml:space="preserve">.</w:t>
      </w:r>
    </w:p>
    <w:p>
      <w:pPr>
        <w:pStyle w:val="FirstParagraph"/>
      </w:pPr>
      <w:r>
        <w:t xml:space="preserve">The $8.48 consensus EPS estimate sits close to the midpoint of guidance. That suggests the market does not require a major raise but does expect IDEX to deliver near the middle-to-upper half of the range.</w:t>
      </w:r>
    </w:p>
    <w:bookmarkStart w:id="27" w:name="base-case"/>
    <w:p>
      <w:pPr>
        <w:pStyle w:val="Heading3"/>
      </w:pPr>
      <w:r>
        <w:t xml:space="preserve">Base case</w:t>
      </w:r>
    </w:p>
    <w:p>
      <w:pPr>
        <w:pStyle w:val="Compact"/>
        <w:numPr>
          <w:ilvl w:val="0"/>
          <w:numId w:val="1016"/>
        </w:numPr>
      </w:pPr>
      <w:r>
        <w:t xml:space="preserve">Q2 EPS near $2.11;</w:t>
      </w:r>
    </w:p>
    <w:p>
      <w:pPr>
        <w:pStyle w:val="Compact"/>
        <w:numPr>
          <w:ilvl w:val="0"/>
          <w:numId w:val="1016"/>
        </w:numPr>
      </w:pPr>
      <w:r>
        <w:t xml:space="preserve">Organic growth of 3%–4%;</w:t>
      </w:r>
    </w:p>
    <w:p>
      <w:pPr>
        <w:pStyle w:val="Compact"/>
        <w:numPr>
          <w:ilvl w:val="0"/>
          <w:numId w:val="1016"/>
        </w:numPr>
      </w:pPr>
      <w:r>
        <w:t xml:space="preserve">Margin near 27%;</w:t>
      </w:r>
    </w:p>
    <w:p>
      <w:pPr>
        <w:pStyle w:val="Compact"/>
        <w:numPr>
          <w:ilvl w:val="0"/>
          <w:numId w:val="1016"/>
        </w:numPr>
      </w:pPr>
      <w:r>
        <w:t xml:space="preserve">Full-year guidance reiterated, perhaps with more confidence around the upper half.</w:t>
      </w:r>
    </w:p>
    <w:bookmarkEnd w:id="27"/>
    <w:bookmarkStart w:id="28" w:name="bull-case"/>
    <w:p>
      <w:pPr>
        <w:pStyle w:val="Heading3"/>
      </w:pPr>
      <w:r>
        <w:t xml:space="preserve">Bull case</w:t>
      </w:r>
    </w:p>
    <w:p>
      <w:pPr>
        <w:pStyle w:val="Compact"/>
        <w:numPr>
          <w:ilvl w:val="0"/>
          <w:numId w:val="1017"/>
        </w:numPr>
      </w:pPr>
      <w:r>
        <w:t xml:space="preserve">Organic growth above 4%;</w:t>
      </w:r>
    </w:p>
    <w:p>
      <w:pPr>
        <w:pStyle w:val="Compact"/>
        <w:numPr>
          <w:ilvl w:val="0"/>
          <w:numId w:val="1017"/>
        </w:numPr>
      </w:pPr>
      <w:r>
        <w:t xml:space="preserve">HST remains near double-digit growth with continued backlog expansion;</w:t>
      </w:r>
    </w:p>
    <w:p>
      <w:pPr>
        <w:pStyle w:val="Compact"/>
        <w:numPr>
          <w:ilvl w:val="0"/>
          <w:numId w:val="1017"/>
        </w:numPr>
      </w:pPr>
      <w:r>
        <w:t xml:space="preserve">FMT shows a genuine cyclical improvement;</w:t>
      </w:r>
    </w:p>
    <w:p>
      <w:pPr>
        <w:pStyle w:val="Compact"/>
        <w:numPr>
          <w:ilvl w:val="0"/>
          <w:numId w:val="1017"/>
        </w:numPr>
      </w:pPr>
      <w:r>
        <w:t xml:space="preserve">Q2 margin exceeds 27%;</w:t>
      </w:r>
    </w:p>
    <w:p>
      <w:pPr>
        <w:pStyle w:val="Compact"/>
        <w:numPr>
          <w:ilvl w:val="0"/>
          <w:numId w:val="1017"/>
        </w:numPr>
      </w:pPr>
      <w:r>
        <w:t xml:space="preserve">Management raises the low end—or both ends—of EPS guidance.</w:t>
      </w:r>
    </w:p>
    <w:bookmarkEnd w:id="28"/>
    <w:bookmarkStart w:id="29" w:name="bear-case"/>
    <w:p>
      <w:pPr>
        <w:pStyle w:val="Heading3"/>
      </w:pPr>
      <w:r>
        <w:t xml:space="preserve">Bear case</w:t>
      </w:r>
    </w:p>
    <w:p>
      <w:pPr>
        <w:pStyle w:val="Compact"/>
        <w:numPr>
          <w:ilvl w:val="0"/>
          <w:numId w:val="1018"/>
        </w:numPr>
      </w:pPr>
      <w:r>
        <w:t xml:space="preserve">HST orders slow materially;</w:t>
      </w:r>
    </w:p>
    <w:p>
      <w:pPr>
        <w:pStyle w:val="Compact"/>
        <w:numPr>
          <w:ilvl w:val="0"/>
          <w:numId w:val="1018"/>
        </w:numPr>
      </w:pPr>
      <w:r>
        <w:t xml:space="preserve">Semiconductor or data-center schedules are deferred;</w:t>
      </w:r>
    </w:p>
    <w:p>
      <w:pPr>
        <w:pStyle w:val="Compact"/>
        <w:numPr>
          <w:ilvl w:val="0"/>
          <w:numId w:val="1018"/>
        </w:numPr>
      </w:pPr>
      <w:r>
        <w:t xml:space="preserve">FMT’s Q1 order strength fails to convert;</w:t>
      </w:r>
    </w:p>
    <w:p>
      <w:pPr>
        <w:pStyle w:val="Compact"/>
        <w:numPr>
          <w:ilvl w:val="0"/>
          <w:numId w:val="1018"/>
        </w:numPr>
      </w:pPr>
      <w:r>
        <w:t xml:space="preserve">Margin falls below 26.5% due to mix;</w:t>
      </w:r>
    </w:p>
    <w:p>
      <w:pPr>
        <w:pStyle w:val="Compact"/>
        <w:numPr>
          <w:ilvl w:val="0"/>
          <w:numId w:val="1018"/>
        </w:numPr>
      </w:pPr>
      <w:r>
        <w:t xml:space="preserve">Full-year guidance is maintained only because of buybacks, currency, or cost reductions rather than stronger operations.</w:t>
      </w:r>
    </w:p>
    <w:p>
      <w:pPr>
        <w:pStyle w:val="FirstParagraph"/>
      </w:pPr>
      <w:r>
        <w:t xml:space="preserve">Given that Q1 already prompted a material guidance increase, a simple reiteration would not necessarily be disappointing. The quality of the segment commentary will determine whether investors view the unchanged outlook as conservative or as evidence that Q1 represented the peak growth quarter.</w:t>
      </w:r>
    </w:p>
    <w:p>
      <w:r>
        <w:pict>
          <v:rect style="width:0;height:1.5pt" o:hralign="center" o:hrstd="t" o:hr="t"/>
        </w:pict>
      </w:r>
    </w:p>
    <w:bookmarkEnd w:id="29"/>
    <w:bookmarkEnd w:id="30"/>
    <w:bookmarkStart w:id="31" w:name="Xa15c05963e5f3cd073c8173cd633fba4ccaa00c"/>
    <w:p>
      <w:pPr>
        <w:pStyle w:val="Heading2"/>
      </w:pPr>
      <w:r>
        <w:t xml:space="preserve">7. Cash flow and capital allocation deserve attention</w:t>
      </w:r>
    </w:p>
    <w:p>
      <w:pPr>
        <w:pStyle w:val="FirstParagraph"/>
      </w:pPr>
      <w:r>
        <w:t xml:space="preserve">Q1 free cash flow was</w:t>
      </w:r>
      <w:r>
        <w:t xml:space="preserve"> </w:t>
      </w:r>
      <w:r>
        <w:rPr>
          <w:b/>
          <w:bCs/>
        </w:rPr>
        <w:t xml:space="preserve">$86 million</w:t>
      </w:r>
      <w:r>
        <w:t xml:space="preserve">, down slightly year over year despite higher earnings. The primary issue was working capital:</w:t>
      </w:r>
    </w:p>
    <w:p>
      <w:pPr>
        <w:pStyle w:val="Compact"/>
        <w:numPr>
          <w:ilvl w:val="0"/>
          <w:numId w:val="1019"/>
        </w:numPr>
      </w:pPr>
      <w:r>
        <w:t xml:space="preserve">Receivables increased as sales grew;</w:t>
      </w:r>
    </w:p>
    <w:p>
      <w:pPr>
        <w:pStyle w:val="Compact"/>
        <w:numPr>
          <w:ilvl w:val="0"/>
          <w:numId w:val="1019"/>
        </w:numPr>
      </w:pPr>
      <w:r>
        <w:t xml:space="preserve">Inventories were built to support planned production;</w:t>
      </w:r>
    </w:p>
    <w:p>
      <w:pPr>
        <w:pStyle w:val="Compact"/>
        <w:numPr>
          <w:ilvl w:val="0"/>
          <w:numId w:val="1019"/>
        </w:numPr>
      </w:pPr>
      <w:r>
        <w:t xml:space="preserve">Organic operating working capital increased by approximately $59 million.</w:t>
      </w:r>
    </w:p>
    <w:p>
      <w:pPr>
        <w:pStyle w:val="FirstParagraph"/>
      </w:pPr>
      <w:r>
        <w:t xml:space="preserve">Q2 is normally a stronger cash-generating period. Investors should look for:</w:t>
      </w:r>
    </w:p>
    <w:p>
      <w:pPr>
        <w:pStyle w:val="Compact"/>
        <w:numPr>
          <w:ilvl w:val="0"/>
          <w:numId w:val="1020"/>
        </w:numPr>
      </w:pPr>
      <w:r>
        <w:t xml:space="preserve">Improved cash conversion;</w:t>
      </w:r>
    </w:p>
    <w:p>
      <w:pPr>
        <w:pStyle w:val="Compact"/>
        <w:numPr>
          <w:ilvl w:val="0"/>
          <w:numId w:val="1020"/>
        </w:numPr>
      </w:pPr>
      <w:r>
        <w:t xml:space="preserve">Evidence that inventory growth is tied to firm HST demand;</w:t>
      </w:r>
    </w:p>
    <w:p>
      <w:pPr>
        <w:pStyle w:val="Compact"/>
        <w:numPr>
          <w:ilvl w:val="0"/>
          <w:numId w:val="1020"/>
        </w:numPr>
      </w:pPr>
      <w:r>
        <w:t xml:space="preserve">Progress toward at least 100% annual free-cash-flow conversion;</w:t>
      </w:r>
    </w:p>
    <w:p>
      <w:pPr>
        <w:pStyle w:val="Compact"/>
        <w:numPr>
          <w:ilvl w:val="0"/>
          <w:numId w:val="1020"/>
        </w:numPr>
      </w:pPr>
      <w:r>
        <w:t xml:space="preserve">Continued share repurchases around the Q1 pace of $76 million per quarter.</w:t>
      </w:r>
    </w:p>
    <w:p>
      <w:pPr>
        <w:pStyle w:val="FirstParagraph"/>
      </w:pPr>
      <w:r>
        <w:t xml:space="preserve">IDEX ended Q1 with approximately $1.1 billion of liquidity and gross leverage around 2 times. The company therefore retains capacity for bolt-on acquisitions while maintaining dividends and repurchases. Still, investors should watch whether repurchases are being funded partly through additional revolver borrowings rather than internally generated cash.</w:t>
      </w:r>
    </w:p>
    <w:p>
      <w:r>
        <w:pict>
          <v:rect style="width:0;height:1.5pt" o:hralign="center" o:hrstd="t" o:hr="t"/>
        </w:pict>
      </w:r>
    </w:p>
    <w:bookmarkEnd w:id="31"/>
    <w:bookmarkStart w:id="32" w:name="questions-management-should-answer"/>
    <w:p>
      <w:pPr>
        <w:pStyle w:val="Heading2"/>
      </w:pPr>
      <w:r>
        <w:t xml:space="preserve">Questions management should answer</w:t>
      </w:r>
    </w:p>
    <w:p>
      <w:pPr>
        <w:pStyle w:val="Compact"/>
        <w:numPr>
          <w:ilvl w:val="0"/>
          <w:numId w:val="1021"/>
        </w:numPr>
      </w:pPr>
      <w:r>
        <w:rPr>
          <w:b/>
          <w:bCs/>
        </w:rPr>
        <w:t xml:space="preserve">How did HST orders progress month by month during Q2?</w:t>
      </w:r>
    </w:p>
    <w:p>
      <w:pPr>
        <w:pStyle w:val="Compact"/>
        <w:numPr>
          <w:ilvl w:val="0"/>
          <w:numId w:val="1021"/>
        </w:numPr>
      </w:pPr>
      <w:r>
        <w:rPr>
          <w:b/>
          <w:bCs/>
        </w:rPr>
        <w:t xml:space="preserve">Has any data-center, semiconductor, or space program been rescheduled?</w:t>
      </w:r>
    </w:p>
    <w:p>
      <w:pPr>
        <w:pStyle w:val="Compact"/>
        <w:numPr>
          <w:ilvl w:val="0"/>
          <w:numId w:val="1021"/>
        </w:numPr>
      </w:pPr>
      <w:r>
        <w:rPr>
          <w:b/>
          <w:bCs/>
        </w:rPr>
        <w:t xml:space="preserve">How much HST backlog is scheduled for 2026 versus 2027?</w:t>
      </w:r>
    </w:p>
    <w:p>
      <w:pPr>
        <w:pStyle w:val="Compact"/>
        <w:numPr>
          <w:ilvl w:val="0"/>
          <w:numId w:val="1021"/>
        </w:numPr>
      </w:pPr>
      <w:r>
        <w:rPr>
          <w:b/>
          <w:bCs/>
        </w:rPr>
        <w:t xml:space="preserve">Are Mott, Muon, and Micro-LAM margins improving at the planned pace?</w:t>
      </w:r>
    </w:p>
    <w:p>
      <w:pPr>
        <w:pStyle w:val="Compact"/>
        <w:numPr>
          <w:ilvl w:val="0"/>
          <w:numId w:val="1021"/>
        </w:numPr>
      </w:pPr>
      <w:r>
        <w:rPr>
          <w:b/>
          <w:bCs/>
        </w:rPr>
        <w:t xml:space="preserve">Did the March–April improvement in short-cycle industrial demand persist?</w:t>
      </w:r>
    </w:p>
    <w:p>
      <w:pPr>
        <w:pStyle w:val="Compact"/>
        <w:numPr>
          <w:ilvl w:val="0"/>
          <w:numId w:val="1021"/>
        </w:numPr>
      </w:pPr>
      <w:r>
        <w:rPr>
          <w:b/>
          <w:bCs/>
        </w:rPr>
        <w:t xml:space="preserve">How much of Q1 FMT order growth represented demand pulled forward from Q2?</w:t>
      </w:r>
    </w:p>
    <w:p>
      <w:pPr>
        <w:pStyle w:val="Compact"/>
        <w:numPr>
          <w:ilvl w:val="0"/>
          <w:numId w:val="1021"/>
        </w:numPr>
      </w:pPr>
      <w:r>
        <w:rPr>
          <w:b/>
          <w:bCs/>
        </w:rPr>
        <w:t xml:space="preserve">What would need to happen to raise the full-year organic-growth outlook above 4%?</w:t>
      </w:r>
    </w:p>
    <w:p>
      <w:pPr>
        <w:pStyle w:val="Compact"/>
        <w:numPr>
          <w:ilvl w:val="0"/>
          <w:numId w:val="1021"/>
        </w:numPr>
      </w:pPr>
      <w:r>
        <w:rPr>
          <w:b/>
          <w:bCs/>
        </w:rPr>
        <w:t xml:space="preserve">Is life-sciences demand still constrained by China and research-funding pressures?</w:t>
      </w:r>
    </w:p>
    <w:p>
      <w:pPr>
        <w:pStyle w:val="Compact"/>
        <w:numPr>
          <w:ilvl w:val="0"/>
          <w:numId w:val="1021"/>
        </w:numPr>
      </w:pPr>
      <w:r>
        <w:rPr>
          <w:b/>
          <w:bCs/>
        </w:rPr>
        <w:t xml:space="preserve">Are tariffs, material inflation, or supply-chain changes requiring additional price increases?</w:t>
      </w:r>
    </w:p>
    <w:p>
      <w:pPr>
        <w:pStyle w:val="Compact"/>
        <w:numPr>
          <w:ilvl w:val="0"/>
          <w:numId w:val="1021"/>
        </w:numPr>
      </w:pPr>
      <w:r>
        <w:rPr>
          <w:b/>
          <w:bCs/>
        </w:rPr>
        <w:t xml:space="preserve">Is free-cash-flow conversion still comfortably on track for at least 100%?</w:t>
      </w:r>
    </w:p>
    <w:p>
      <w:r>
        <w:pict>
          <v:rect style="width:0;height:1.5pt" o:hralign="center" o:hrstd="t" o:hr="t"/>
        </w:pict>
      </w:r>
    </w:p>
    <w:bookmarkEnd w:id="32"/>
    <w:bookmarkStart w:id="33" w:name="bottom-line"/>
    <w:p>
      <w:pPr>
        <w:pStyle w:val="Heading2"/>
      </w:pPr>
      <w:r>
        <w:t xml:space="preserve">Bottom line</w:t>
      </w:r>
    </w:p>
    <w:p>
      <w:pPr>
        <w:pStyle w:val="FirstParagraph"/>
      </w:pPr>
      <w:r>
        <w:t xml:space="preserve">The setup is fundamentally favorable but not low-expectation.</w:t>
      </w:r>
    </w:p>
    <w:p>
      <w:pPr>
        <w:pStyle w:val="BodyText"/>
      </w:pPr>
      <w:r>
        <w:t xml:space="preserve">IDEX’s strategic pivot toward higher-growth applications is showing tangible results, with HST benefiting from AI infrastructure, semiconductor capital spending, optical technologies, and space and defense. The Q1 order performance supports another solid Q2 and makes a significant miss less likely absent program timing or mix issues.</w:t>
      </w:r>
    </w:p>
    <w:p>
      <w:pPr>
        <w:pStyle w:val="BodyText"/>
      </w:pPr>
      <w:r>
        <w:t xml:space="preserve">However, three things could limit upside:</w:t>
      </w:r>
    </w:p>
    <w:p>
      <w:pPr>
        <w:pStyle w:val="Compact"/>
        <w:numPr>
          <w:ilvl w:val="0"/>
          <w:numId w:val="1022"/>
        </w:numPr>
      </w:pPr>
      <w:r>
        <w:t xml:space="preserve">HST’s acquired-business margins remain below their potential;</w:t>
      </w:r>
    </w:p>
    <w:p>
      <w:pPr>
        <w:pStyle w:val="Compact"/>
        <w:numPr>
          <w:ilvl w:val="0"/>
          <w:numId w:val="1022"/>
        </w:numPr>
      </w:pPr>
      <w:r>
        <w:t xml:space="preserve">FMT and FSDP have not yet demonstrated broad cyclical acceleration;</w:t>
      </w:r>
    </w:p>
    <w:p>
      <w:pPr>
        <w:pStyle w:val="Compact"/>
        <w:numPr>
          <w:ilvl w:val="0"/>
          <w:numId w:val="1022"/>
        </w:numPr>
      </w:pPr>
      <w:r>
        <w:t xml:space="preserve">The valuation already reflects a meaningful degree of confidence in the 2026–2027 growth story.</w:t>
      </w:r>
    </w:p>
    <w:p>
      <w:pPr>
        <w:pStyle w:val="FirstParagraph"/>
      </w:pPr>
      <w:r>
        <w:rPr>
          <w:b/>
          <w:bCs/>
        </w:rPr>
        <w:t xml:space="preserve">The best outcome is not simply EPS above $2.12.</w:t>
      </w:r>
      <w:r>
        <w:t xml:space="preserve"> </w:t>
      </w:r>
      <w:r>
        <w:t xml:space="preserve">It is a combination of sustained HST orders, improving HST margin conversion, and evidence that FMT’s short-cycle businesses are beginning to participate. That would make the company’s 3%–4% full-year organic-growth target look conservative and increase confidence that IDEX can carry stronger growth into 2027.</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investors.idexcorp.com/financials/quarterly-results/default.aspx?utm_source=openai" TargetMode="External" /><Relationship Type="http://schemas.openxmlformats.org/officeDocument/2006/relationships/hyperlink" Id="rId9" Target="https://investors.idexcorp.com/overview/?utm_source=openai" TargetMode="External" /><Relationship Type="http://schemas.openxmlformats.org/officeDocument/2006/relationships/hyperlink" Id="rId10" Target="https://www.barchart.com/stocks/quotes/IEX/earnings-estimates?utm_source=openai" TargetMode="External" /><Relationship Type="http://schemas.openxmlformats.org/officeDocument/2006/relationships/hyperlink" Id="rId12" Target="https://www.benzinga.com/quote/IEX/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investors.idexcorp.com/financials/quarterly-results/default.aspx?utm_source=openai" TargetMode="External" /><Relationship Type="http://schemas.openxmlformats.org/officeDocument/2006/relationships/hyperlink" Id="rId9" Target="https://investors.idexcorp.com/overview/?utm_source=openai" TargetMode="External" /><Relationship Type="http://schemas.openxmlformats.org/officeDocument/2006/relationships/hyperlink" Id="rId10" Target="https://www.barchart.com/stocks/quotes/IEX/earnings-estimates?utm_source=openai" TargetMode="External" /><Relationship Type="http://schemas.openxmlformats.org/officeDocument/2006/relationships/hyperlink" Id="rId12" Target="https://www.benzinga.com/quote/IEX/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2026-07-29T00:44:45Z</dcterms:created>
  <dcterms:modified xsi:type="dcterms:W3CDTF">2026-07-29T00:44:45Z</dcterms:modified>
</cp:coreProperties>
</file>

<file path=docProps/custom.xml><?xml version="1.0" encoding="utf-8"?>
<Properties xmlns="http://schemas.openxmlformats.org/officeDocument/2006/custom-properties" xmlns:vt="http://schemas.openxmlformats.org/officeDocument/2006/docPropsVTypes"/>
</file>