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dex-nyse-iex--2q26-earnings-preview"/>
    <w:p>
      <w:pPr>
        <w:pStyle w:val="Heading1"/>
      </w:pPr>
      <w:r>
        <w:t xml:space="preserve">IDEX (NYSE: IEX)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IDEX’s scheduled</w:t>
      </w:r>
      <w:r>
        <w:t xml:space="preserve"> </w:t>
      </w:r>
      <w:r>
        <w:rPr>
          <w:b/>
          <w:bCs/>
        </w:rPr>
        <w:t xml:space="preserve">2026Q2 earnings call is today, Wednesday, July 29, 2026</w:t>
      </w:r>
      <w:r>
        <w:t xml:space="preserve">—not tomorrow. The prior close was</w:t>
      </w:r>
      <w:r>
        <w:t xml:space="preserve"> </w:t>
      </w:r>
      <w:r>
        <w:rPr>
          <w:b/>
          <w:bCs/>
        </w:rPr>
        <w:t xml:space="preserve">$224.69 on July 28</w:t>
      </w:r>
      <w:r>
        <w:t xml:space="preserve">.</w:t>
      </w:r>
    </w:p>
    <w:bookmarkStart w:id="9" w:name="X6592f4c64a19af214f07f20c1b35853abe2b590"/>
    <w:p>
      <w:pPr>
        <w:pStyle w:val="Heading2"/>
      </w:pPr>
      <w:r>
        <w:t xml:space="preserve">Investment view: execution and the quality of growth matter more than a modest EPS beat</w:t>
      </w:r>
    </w:p>
    <w:p>
      <w:pPr>
        <w:pStyle w:val="FirstParagraph"/>
      </w:pPr>
      <w:r>
        <w:t xml:space="preserve">IDEX enters the second quarter with a favorable setup: management raised 2026 guidance after a strong 1Q, HST backlog and orders were robust, and the company has increasingly positioned its portfolio toward AI/data-center infrastructure, semiconductor, space &amp; defense, and water-related applications. The central question for investors is whether those durable growth platforms can continue to offset still-uneven short-cycle industrial demand in FMT and project timing in FSDP—while maintaining the margin framework embedded in the full-year outlook.</w:t>
      </w:r>
    </w:p>
    <w:p>
      <w:pPr>
        <w:pStyle w:val="BodyText"/>
      </w:pPr>
      <w:r>
        <w:t xml:space="preserve">The quarter’s headline hurdle is well defined. At 1Q earnings, IDEX guided to</w:t>
      </w:r>
      <w:r>
        <w:t xml:space="preserve"> </w:t>
      </w:r>
      <w:r>
        <w:rPr>
          <w:b/>
          <w:bCs/>
        </w:rPr>
        <w:t xml:space="preserve">2Q organic sales growth of 3%–4%, adjusted EBITDA margin of 26.5%–27.0%, and adjusted EPS of</w:t>
      </w:r>
      <w:r>
        <w:rPr>
          <w:b/>
          <w:bCs/>
        </w:rPr>
        <w:t xml:space="preserve"> </w:t>
      </w:r>
      <m:oMath>
        <m:r>
          <m:t>2.07</m:t>
        </m:r>
        <m:r>
          <m:rPr>
            <m:sty m:val="p"/>
          </m:rPr>
          <m:t>–</m:t>
        </m:r>
      </m:oMath>
      <w:r>
        <w:rPr>
          <w:b/>
          <w:bCs/>
        </w:rPr>
        <w:t xml:space="preserve">2.12</w:t>
      </w:r>
      <w:r>
        <w:t xml:space="preserve">. The midpoint EPS guide of</w:t>
      </w:r>
      <w:r>
        <w:t xml:space="preserve"> </w:t>
      </w:r>
      <w:r>
        <w:rPr>
          <w:b/>
          <w:bCs/>
        </w:rPr>
        <w:t xml:space="preserve">$2.095</w:t>
      </w:r>
      <w:r>
        <w:t xml:space="preserve"> </w:t>
      </w:r>
      <w:r>
        <w:t xml:space="preserve">implies roughly</w:t>
      </w:r>
      <w:r>
        <w:t xml:space="preserve"> </w:t>
      </w:r>
      <w:r>
        <w:rPr>
          <w:b/>
          <w:bCs/>
        </w:rPr>
        <w:t xml:space="preserve">1% year-over-year growth</w:t>
      </w:r>
      <w:r>
        <w:t xml:space="preserve"> </w:t>
      </w:r>
      <w:r>
        <w:t xml:space="preserve">versus 2Q25 adjusted EPS of $2.07. That makes the earnings bar manageable; the more consequential driver of the stock is likely to be commentary on the second half and whether the raised full-year targets still look conservative.</w:t>
      </w:r>
    </w:p>
    <w:bookmarkEnd w:id="9"/>
    <w:bookmarkStart w:id="13" w:name="what-management-needs-to-prove"/>
    <w:p>
      <w:pPr>
        <w:pStyle w:val="Heading2"/>
      </w:pPr>
      <w:r>
        <w:t xml:space="preserve">What management needs to prove</w:t>
      </w:r>
    </w:p>
    <w:bookmarkStart w:id="10" w:name="X5869a2274c4134cee3cd1e157f9fce18f5fa921"/>
    <w:p>
      <w:pPr>
        <w:pStyle w:val="Heading3"/>
      </w:pPr>
      <w:r>
        <w:t xml:space="preserve">1. HST must remain the growth engine</w:t>
      </w:r>
    </w:p>
    <w:p>
      <w:pPr>
        <w:pStyle w:val="FirstParagraph"/>
      </w:pPr>
      <w:r>
        <w:t xml:space="preserve">Health &amp; Science Technologies is the key swing factor. In 1Q, HST organic sales grew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and organic orders grew</w:t>
      </w:r>
      <w:r>
        <w:t xml:space="preserve"> </w:t>
      </w:r>
      <w:r>
        <w:rPr>
          <w:b/>
          <w:bCs/>
        </w:rPr>
        <w:t xml:space="preserve">17%</w:t>
      </w:r>
      <w:r>
        <w:t xml:space="preserve">, supported by data-center power, semiconductor, optical switching, space &amp; defense, and pharma demand. Management described the associated backlog as providing increased visibility through the balance of 2026 and into 2027.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High-single-digit or better HST organic growth</w:t>
      </w:r>
      <w:r>
        <w:t xml:space="preserve">, consistent with management’s full-year expectation.</w:t>
      </w:r>
    </w:p>
    <w:p>
      <w:pPr>
        <w:pStyle w:val="Compact"/>
        <w:numPr>
          <w:ilvl w:val="0"/>
          <w:numId w:val="1001"/>
        </w:numPr>
      </w:pPr>
      <w:r>
        <w:t xml:space="preserve">Continued evidence that semiconductor, data-center/power, and space &amp; defense demand is converting from orders into revenue.</w:t>
      </w:r>
    </w:p>
    <w:p>
      <w:pPr>
        <w:pStyle w:val="Compact"/>
        <w:numPr>
          <w:ilvl w:val="0"/>
          <w:numId w:val="1001"/>
        </w:numPr>
      </w:pPr>
      <w:r>
        <w:t xml:space="preserve">Further discussion of long-cycle customer programs, capacity additions, and the durability of the backlog.</w:t>
      </w:r>
    </w:p>
    <w:p>
      <w:pPr>
        <w:pStyle w:val="Compact"/>
        <w:numPr>
          <w:ilvl w:val="0"/>
          <w:numId w:val="1001"/>
        </w:numPr>
      </w:pPr>
      <w:r>
        <w:t xml:space="preserve">Incremental evidence of life-sciences stabilization. Pharma has been favorable, but China-related demand and academic/NIH funding pressure have restrained the broader life-sciences portfolio.</w:t>
      </w:r>
    </w:p>
    <w:p>
      <w:pPr>
        <w:pStyle w:val="FirstParagraph"/>
      </w:pPr>
      <w:r>
        <w:t xml:space="preserve">The important nuance is margins. HST’s 1Q adjusted EBITDA margin expanded 100 bps year over year to</w:t>
      </w:r>
      <w:r>
        <w:t xml:space="preserve"> </w:t>
      </w:r>
      <w:r>
        <w:rPr>
          <w:b/>
          <w:bCs/>
        </w:rPr>
        <w:t xml:space="preserve">26.6%</w:t>
      </w:r>
      <w:r>
        <w:t xml:space="preserve">, but management has said recently acquired businesses—including Mott, Muon, and Micro-LAM—remain below segment-average profitability. Investors will want confirmation that 8020 actions and mix improvement can lift incremental margins toward management’s longer-term aspiration.</w:t>
      </w:r>
    </w:p>
    <w:bookmarkEnd w:id="10"/>
    <w:bookmarkStart w:id="11" w:name="Xc068d239ae98317bca2f1866f3da4fb498dd7d0"/>
    <w:p>
      <w:pPr>
        <w:pStyle w:val="Heading3"/>
      </w:pPr>
      <w:r>
        <w:t xml:space="preserve">2. FMT is the principal cyclical risk—and upside option</w:t>
      </w:r>
    </w:p>
    <w:p>
      <w:pPr>
        <w:pStyle w:val="FirstParagraph"/>
      </w:pPr>
      <w:r>
        <w:t xml:space="preserve">FMT posted</w:t>
      </w:r>
      <w:r>
        <w:t xml:space="preserve"> </w:t>
      </w:r>
      <w:r>
        <w:rPr>
          <w:b/>
          <w:bCs/>
        </w:rPr>
        <w:t xml:space="preserve">2% organic sales growth</w:t>
      </w:r>
      <w:r>
        <w:t xml:space="preserve"> </w:t>
      </w:r>
      <w:r>
        <w:t xml:space="preserve">in 1Q, despite</w:t>
      </w:r>
      <w:r>
        <w:t xml:space="preserve"> </w:t>
      </w:r>
      <w:r>
        <w:rPr>
          <w:b/>
          <w:bCs/>
        </w:rPr>
        <w:t xml:space="preserve">9% organic order growth</w:t>
      </w:r>
      <w:r>
        <w:t xml:space="preserve">. Water, mining, semiconductor-related high-purity water, and pumps were constructive; chemical and general industrial demand remained weaker.</w:t>
      </w:r>
    </w:p>
    <w:p>
      <w:pPr>
        <w:pStyle w:val="BodyText"/>
      </w:pPr>
      <w:r>
        <w:t xml:space="preserve">This makes FMT particularly important in 2Q: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Water:</w:t>
      </w:r>
      <w:r>
        <w:t xml:space="preserve"> </w:t>
      </w:r>
      <w:r>
        <w:t xml:space="preserve">Municipal water and high-purity semiconductor water are the clearest bright spots. Sustained high-single-digit growth in this platform would support confidence that FMT can outperform its flat full-year framework.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Industrial order cadence:</w:t>
      </w:r>
      <w:r>
        <w:t xml:space="preserve"> </w:t>
      </w:r>
      <w:r>
        <w:t xml:space="preserve">Management saw a weak January, improvement in February, a stronger March, and steady April activity. A confirmation of that trajectory through May–June would be a meaningful positive.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Chemical/general industrial:</w:t>
      </w:r>
      <w:r>
        <w:t xml:space="preserve"> </w:t>
      </w:r>
      <w:r>
        <w:t xml:space="preserve">These remain the clearest soft spots. Persistent weakness would support the company’s conservative full-year FMT outlook, while an improvement could create upside to organic-growth guidance.</w:t>
      </w:r>
    </w:p>
    <w:p>
      <w:pPr>
        <w:pStyle w:val="FirstParagraph"/>
      </w:pPr>
      <w:r>
        <w:t xml:space="preserve">In short, HST is expected to perform. FMT determines whether IDEX is merely meeting its raised plan or building a case for another upward revision.</w:t>
      </w:r>
    </w:p>
    <w:bookmarkEnd w:id="11"/>
    <w:bookmarkStart w:id="12" w:name="X6f95e6c1e7f23569e3f549a5e016a3fa34930e1"/>
    <w:p>
      <w:pPr>
        <w:pStyle w:val="Heading3"/>
      </w:pPr>
      <w:r>
        <w:t xml:space="preserve">3. FSDP needs stability, not necessarily growth</w:t>
      </w:r>
    </w:p>
    <w:p>
      <w:pPr>
        <w:pStyle w:val="FirstParagraph"/>
      </w:pPr>
      <w:r>
        <w:t xml:space="preserve">Fire &amp; Safety/Diversified Products declined</w:t>
      </w:r>
      <w:r>
        <w:t xml:space="preserve"> </w:t>
      </w:r>
      <w:r>
        <w:rPr>
          <w:b/>
          <w:bCs/>
        </w:rPr>
        <w:t xml:space="preserve">1% organically</w:t>
      </w:r>
      <w:r>
        <w:t xml:space="preserve"> </w:t>
      </w:r>
      <w:r>
        <w:t xml:space="preserve">in 1Q. Strong North American fire-and-rescue demand was offset by lower dispensing volumes due to project timing. Management expected dispensing to stabilize sequentially.</w:t>
      </w:r>
    </w:p>
    <w:p>
      <w:pPr>
        <w:pStyle w:val="BodyText"/>
      </w:pPr>
      <w:r>
        <w:t xml:space="preserve">The relevant 2Q read-throughs are:</w:t>
      </w:r>
    </w:p>
    <w:p>
      <w:pPr>
        <w:pStyle w:val="Compact"/>
        <w:numPr>
          <w:ilvl w:val="0"/>
          <w:numId w:val="1003"/>
        </w:numPr>
      </w:pPr>
      <w:r>
        <w:t xml:space="preserve">Continued North American Fire &amp; Safety strength;</w:t>
      </w:r>
    </w:p>
    <w:p>
      <w:pPr>
        <w:pStyle w:val="Compact"/>
        <w:numPr>
          <w:ilvl w:val="0"/>
          <w:numId w:val="1003"/>
        </w:numPr>
      </w:pPr>
      <w:r>
        <w:t xml:space="preserve">Whether Europe remains stable after prior volatility;</w:t>
      </w:r>
    </w:p>
    <w:p>
      <w:pPr>
        <w:pStyle w:val="Compact"/>
        <w:numPr>
          <w:ilvl w:val="0"/>
          <w:numId w:val="1003"/>
        </w:numPr>
      </w:pPr>
      <w:r>
        <w:t xml:space="preserve">Whether dispensing projects have normalized as expected; and</w:t>
      </w:r>
    </w:p>
    <w:p>
      <w:pPr>
        <w:pStyle w:val="Compact"/>
        <w:numPr>
          <w:ilvl w:val="0"/>
          <w:numId w:val="1003"/>
        </w:numPr>
      </w:pPr>
      <w:r>
        <w:t xml:space="preserve">Margin resilience despite mixed volumes.</w:t>
      </w:r>
    </w:p>
    <w:p>
      <w:pPr>
        <w:pStyle w:val="FirstParagraph"/>
      </w:pPr>
      <w:r>
        <w:t xml:space="preserve">A stabilization in FSDP would remove a potential drag from the 2026 outlook, even if growth remains modest.</w:t>
      </w:r>
    </w:p>
    <w:bookmarkEnd w:id="12"/>
    <w:bookmarkEnd w:id="13"/>
    <w:bookmarkStart w:id="14" w:name="baseline-expectations-and-comparison"/>
    <w:p>
      <w:pPr>
        <w:pStyle w:val="Heading2"/>
      </w:pPr>
      <w:r>
        <w:t xml:space="preserve">Baseline expectations and comparison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</w:pPr>
            <w:r>
              <w:t xml:space="preserve">What matters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3%–4%</w:t>
            </w:r>
          </w:p>
        </w:tc>
        <w:tc>
          <w:tcPr/>
          <w:p>
            <w:pPr>
              <w:pStyle w:val="Compact"/>
            </w:pPr>
            <w:r>
              <w:t xml:space="preserve">Delivery against the raised growth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2.07</m:t>
              </m:r>
              <m:r>
                <m:rPr>
                  <m:sty m:val="p"/>
                </m:rPr>
                <m:t>–</m:t>
              </m:r>
            </m:oMath>
            <w:r>
              <w:t xml:space="preserve">2.12</w:t>
            </w:r>
          </w:p>
        </w:tc>
        <w:tc>
          <w:tcPr/>
          <w:p>
            <w:pPr>
              <w:pStyle w:val="Compact"/>
            </w:pPr>
            <w:r>
              <w:t xml:space="preserve">Beat/raise potential and full-year EPS 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26.5%–27.0%</w:t>
            </w:r>
          </w:p>
        </w:tc>
        <w:tc>
          <w:tcPr/>
          <w:p>
            <w:pPr>
              <w:pStyle w:val="Compact"/>
            </w:pPr>
            <w:r>
              <w:t xml:space="preserve">Mix, productivity, and acquired-business margins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 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High-single-digit growth implied for FY26</w:t>
            </w:r>
          </w:p>
        </w:tc>
        <w:tc>
          <w:tcPr/>
          <w:p>
            <w:pPr>
              <w:pStyle w:val="Compact"/>
            </w:pPr>
            <w:r>
              <w:t xml:space="preserve">Durability of secular growth and backlog conversion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FMT 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 flat FY26 outlook</w:t>
            </w:r>
          </w:p>
        </w:tc>
        <w:tc>
          <w:tcPr/>
          <w:p>
            <w:pPr>
              <w:pStyle w:val="Compact"/>
            </w:pPr>
            <w:r>
              <w:t xml:space="preserve">Water strength versus industrial/chemical softness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FSDP 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 flat FY26 outlook</w:t>
            </w:r>
          </w:p>
        </w:tc>
        <w:tc>
          <w:tcPr/>
          <w:p>
            <w:pPr>
              <w:pStyle w:val="Compact"/>
            </w:pPr>
            <w:r>
              <w:t xml:space="preserve">Fire &amp; Safety demand and dispensing normalization</w:t>
            </w:r>
          </w:p>
        </w:tc>
      </w:tr>
    </w:tbl>
    <w:p>
      <w:pPr>
        <w:pStyle w:val="BodyText"/>
      </w:pPr>
      <w:r>
        <w:t xml:space="preserve">The reported-sales comparison may look stronger than organic growth because of acquisitions and foreign exchange, but investors should focus on organic growth, segment mix, EBITDA margin, and orders/backlog.</w:t>
      </w:r>
    </w:p>
    <w:bookmarkEnd w:id="14"/>
    <w:bookmarkStart w:id="15" w:name="guidance-the-main-catalyst"/>
    <w:p>
      <w:pPr>
        <w:pStyle w:val="Heading2"/>
      </w:pPr>
      <w:r>
        <w:t xml:space="preserve">Guidance: the main catalyst</w:t>
      </w:r>
    </w:p>
    <w:p>
      <w:pPr>
        <w:pStyle w:val="FirstParagraph"/>
      </w:pPr>
      <w:r>
        <w:t xml:space="preserve">After 1Q, IDEX raised its full-year 2026 outlook to: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Organic sales growth:</w:t>
      </w:r>
      <w:r>
        <w:t xml:space="preserve"> </w:t>
      </w:r>
      <w:r>
        <w:rPr>
          <w:b/>
          <w:bCs/>
        </w:rPr>
        <w:t xml:space="preserve">3%–4%</w:t>
      </w:r>
      <w:r>
        <w:t xml:space="preserve">, from 1%–2%;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8.35</m:t>
        </m:r>
        <m:r>
          <m:rPr>
            <m:sty m:val="p"/>
          </m:rPr>
          <m:t>–</m:t>
        </m:r>
      </m:oMath>
      <w:r>
        <w:rPr>
          <w:b/>
          <w:bCs/>
        </w:rPr>
        <w:t xml:space="preserve">8.55</w:t>
      </w:r>
      <w:r>
        <w:t xml:space="preserve">, from</w:t>
      </w:r>
      <w:r>
        <w:t xml:space="preserve"> </w:t>
      </w:r>
      <m:oMath>
        <m:r>
          <m:t>8.15</m:t>
        </m:r>
        <m:r>
          <m:rPr>
            <m:sty m:val="p"/>
          </m:rPr>
          <m:t>–</m:t>
        </m:r>
      </m:oMath>
      <w:r>
        <w:t xml:space="preserve">8.35;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Adjusted EBITDA margin:</w:t>
      </w:r>
      <w:r>
        <w:t xml:space="preserve"> </w:t>
      </w:r>
      <w:r>
        <w:rPr>
          <w:b/>
          <w:bCs/>
        </w:rPr>
        <w:t xml:space="preserve">26.5%–27.0%</w:t>
      </w:r>
      <w:r>
        <w:t xml:space="preserve">, unchanged; and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Free-cash-flow conversion:</w:t>
      </w:r>
      <w:r>
        <w:t xml:space="preserve"> </w:t>
      </w:r>
      <w:r>
        <w:t xml:space="preserve">at least 100% for the year.</w:t>
      </w:r>
    </w:p>
    <w:p>
      <w:pPr>
        <w:pStyle w:val="FirstParagraph"/>
      </w:pPr>
      <w:r>
        <w:t xml:space="preserve">The guidance increase was attributed principally to company-specific growth investments and HST momentum—not a broad industrial-cycle recovery. That distinction matters. It suggests IDEX does not need a macro inflection to meet its plan, but it also means the upside case depends on execution in its targeted platforms rather than a rising tide across all businesses.</w:t>
      </w:r>
    </w:p>
    <w:p>
      <w:pPr>
        <w:pStyle w:val="BodyText"/>
      </w:pPr>
      <w:r>
        <w:rPr>
          <w:b/>
          <w:bCs/>
        </w:rPr>
        <w:t xml:space="preserve">Bullish outcome:</w:t>
      </w:r>
      <w:r>
        <w:t xml:space="preserve"> </w:t>
      </w:r>
      <w:r>
        <w:t xml:space="preserve">IDEX meets or exceeds the 2Q EPS and growth framework, reiterates or raises full-year guidance, reports sustained HST order strength, and speaks more positively about FMT industrial trends.</w:t>
      </w:r>
    </w:p>
    <w:p>
      <w:pPr>
        <w:pStyle w:val="BodyText"/>
      </w:pPr>
      <w:r>
        <w:rPr>
          <w:b/>
          <w:bCs/>
        </w:rPr>
        <w:t xml:space="preserve">Neutral outcome:</w:t>
      </w:r>
      <w:r>
        <w:t xml:space="preserve"> </w:t>
      </w:r>
      <w:r>
        <w:t xml:space="preserve">IDEX delivers within its 2Q ranges, reiterates 2026 guidance, and maintains a cautious view on FMT/FSDP while HST remains strong.</w:t>
      </w:r>
    </w:p>
    <w:p>
      <w:pPr>
        <w:pStyle w:val="BodyText"/>
      </w:pPr>
      <w:r>
        <w:rPr>
          <w:b/>
          <w:bCs/>
        </w:rPr>
        <w:t xml:space="preserve">Bearish outcome:</w:t>
      </w:r>
      <w:r>
        <w:t xml:space="preserve"> </w:t>
      </w:r>
      <w:r>
        <w:t xml:space="preserve">HST growth or orders slow materially, acquired-business margin improvement disappoints, FMT weakness broadens beyond chemicals/general industrial, or tariff and price/cost uncertainty causes a more cautious second-half view.</w:t>
      </w:r>
    </w:p>
    <w:bookmarkEnd w:id="15"/>
    <w:bookmarkStart w:id="16" w:name="margins-cash-flow-and-capital-allocation"/>
    <w:p>
      <w:pPr>
        <w:pStyle w:val="Heading2"/>
      </w:pPr>
      <w:r>
        <w:t xml:space="preserve">Margins, cash flow, and capital allocation</w:t>
      </w:r>
    </w:p>
    <w:p>
      <w:pPr>
        <w:pStyle w:val="FirstParagraph"/>
      </w:pPr>
      <w:r>
        <w:t xml:space="preserve">IDEX has demonstrated solid execution: 1Q adjusted EBITDA margin increased 50 bps to</w:t>
      </w:r>
      <w:r>
        <w:t xml:space="preserve"> </w:t>
      </w:r>
      <w:r>
        <w:rPr>
          <w:b/>
          <w:bCs/>
        </w:rPr>
        <w:t xml:space="preserve">26.0%</w:t>
      </w:r>
      <w:r>
        <w:t xml:space="preserve">, even as gross margin declined 40 bps on unfavorable mix and price/cost pressure. For 2Q, the most useful margin indicators will be: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HST incremental margins</w:t>
      </w:r>
      <w:r>
        <w:t xml:space="preserve"> </w:t>
      </w:r>
      <w:r>
        <w:t xml:space="preserve">as volume grows;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FMT margins</w:t>
      </w:r>
      <w:r>
        <w:t xml:space="preserve"> </w:t>
      </w:r>
      <w:r>
        <w:t xml:space="preserve">amid mix and potential volume deleverage;</w:t>
      </w:r>
    </w:p>
    <w:p>
      <w:pPr>
        <w:pStyle w:val="Compact"/>
        <w:numPr>
          <w:ilvl w:val="0"/>
          <w:numId w:val="1005"/>
        </w:numPr>
      </w:pPr>
      <w:r>
        <w:t xml:space="preserve">The balance of price/cost, particularly under a fluid tariff backdrop; and</w:t>
      </w:r>
    </w:p>
    <w:p>
      <w:pPr>
        <w:pStyle w:val="Compact"/>
        <w:numPr>
          <w:ilvl w:val="0"/>
          <w:numId w:val="1005"/>
        </w:numPr>
      </w:pPr>
      <w:r>
        <w:t xml:space="preserve">Whether productivity benefits remain sufficient to protect the 26.5%–27.0% full-year EBITDA-margin target.</w:t>
      </w:r>
    </w:p>
    <w:p>
      <w:pPr>
        <w:pStyle w:val="FirstParagraph"/>
      </w:pPr>
      <w:r>
        <w:t xml:space="preserve">Cash conversion also deserves attention. 1Q free cash flow was $86 million, down modestly year over year because of working-capital investment and higher capital expenditures. Management considers the first quarter seasonally weak and still expects at least 100% full-year free-cash-flow conversion. A sharp 2Q cash-flow recovery would reinforce confidence in that target.</w:t>
      </w:r>
    </w:p>
    <w:p>
      <w:pPr>
        <w:pStyle w:val="BodyText"/>
      </w:pPr>
      <w:r>
        <w:t xml:space="preserve">Capital deployment is supportive: IDEX repurchased</w:t>
      </w:r>
      <w:r>
        <w:t xml:space="preserve"> </w:t>
      </w:r>
      <w:r>
        <w:rPr>
          <w:b/>
          <w:bCs/>
        </w:rPr>
        <w:t xml:space="preserve">$76 million</w:t>
      </w:r>
      <w:r>
        <w:t xml:space="preserve"> </w:t>
      </w:r>
      <w:r>
        <w:t xml:space="preserve">of stock in 1Q and expects to sustain approximately that quarterly pace through 2026, alongside dividends and bolt-on M&amp;A. Gross leverage stood at roughly 2x at the end of 1Q, leaving flexibility for tuck-in acquisitions.</w:t>
      </w:r>
    </w:p>
    <w:bookmarkEnd w:id="16"/>
    <w:bookmarkStart w:id="17" w:name="valuation-and-positioning"/>
    <w:p>
      <w:pPr>
        <w:pStyle w:val="Heading2"/>
      </w:pPr>
      <w:r>
        <w:t xml:space="preserve">Valuation and positioning</w:t>
      </w:r>
    </w:p>
    <w:p>
      <w:pPr>
        <w:pStyle w:val="FirstParagraph"/>
      </w:pPr>
      <w:r>
        <w:t xml:space="preserve">IEX closed at</w:t>
      </w:r>
      <w:r>
        <w:t xml:space="preserve"> </w:t>
      </w:r>
      <w:r>
        <w:rPr>
          <w:b/>
          <w:bCs/>
        </w:rPr>
        <w:t xml:space="preserve">$224.69 on July 28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25.5%</w:t>
      </w:r>
      <w:r>
        <w:t xml:space="preserve"> </w:t>
      </w:r>
      <w:r>
        <w:t xml:space="preserve">from its January 2 close of</w:t>
      </w:r>
      <w:r>
        <w:t xml:space="preserve"> </w:t>
      </w:r>
      <m:oMath>
        <m:r>
          <m:t>179.06</m:t>
        </m:r>
        <m:r>
          <m:rPr>
            <m:sty m:val="p"/>
          </m:rPr>
          <m:t>.</m:t>
        </m:r>
        <m:r>
          <m:t>B</m:t>
        </m:r>
        <m:r>
          <m:t>a</m:t>
        </m:r>
        <m:r>
          <m:t>s</m:t>
        </m:r>
        <m:r>
          <m:t>e</m:t>
        </m:r>
        <m:r>
          <m:t>d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</m:oMath>
      <w:r>
        <w:t xml:space="preserve">8.45), the shares trade at roughly</w:t>
      </w:r>
      <w:r>
        <w:t xml:space="preserve"> </w:t>
      </w:r>
      <w:r>
        <w:rPr>
          <w:b/>
          <w:bCs/>
        </w:rPr>
        <w:t xml:space="preserve">26.6x</w:t>
      </w:r>
      <w:r>
        <w:t xml:space="preserve"> </w:t>
      </w:r>
      <w:r>
        <w:t xml:space="preserve">that earnings measure.</w:t>
      </w:r>
    </w:p>
    <w:p>
      <w:pPr>
        <w:pStyle w:val="BodyText"/>
      </w:pPr>
      <w:r>
        <w:t xml:space="preserve">That premium valuation increases the importance of qualitative proof points: sustained HST growth, credible margin expansion in acquired platforms, and evidence that FMT’s encouraging orders are becoming revenue. The stock has already recovered from the immediate post-1Q reaction, so simply reporting an in-line quarter may not be enough to drive a material re-rating.</w:t>
      </w:r>
    </w:p>
    <w:bookmarkEnd w:id="17"/>
    <w:bookmarkStart w:id="18" w:name="questions-for-the-call"/>
    <w:p>
      <w:pPr>
        <w:pStyle w:val="Heading2"/>
      </w:pPr>
      <w:r>
        <w:t xml:space="preserve">Questions for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HST backlog and demand:</w:t>
      </w:r>
      <w:r>
        <w:t xml:space="preserve"> </w:t>
      </w:r>
      <w:r>
        <w:t xml:space="preserve">How did orders and backlog progress in data centers, semiconductor, optical switching, and space &amp; defense during 2Q?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HST margins:</w:t>
      </w:r>
      <w:r>
        <w:t xml:space="preserve"> </w:t>
      </w:r>
      <w:r>
        <w:t xml:space="preserve">What was the margin contribution from Mott, Muon, and Micro-LAM, and what is the timing for 8020-led improvement?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FMT inflection:</w:t>
      </w:r>
      <w:r>
        <w:t xml:space="preserve"> </w:t>
      </w:r>
      <w:r>
        <w:t xml:space="preserve">Did the improved March–April short-cycle order trend persist through the second quarter? Which end markets remain weak?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Water:</w:t>
      </w:r>
      <w:r>
        <w:t xml:space="preserve"> </w:t>
      </w:r>
      <w:r>
        <w:t xml:space="preserve">Is municipal water growth still high single digit, and has high-purity semiconductor-water demand continued to improve?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Life sciences:</w:t>
      </w:r>
      <w:r>
        <w:t xml:space="preserve"> </w:t>
      </w:r>
      <w:r>
        <w:t xml:space="preserve">Has China/academic weakness stabilized, worsened, or begun to ease? Is pharma growth still offsetting those pressures?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FSDP:</w:t>
      </w:r>
      <w:r>
        <w:t xml:space="preserve"> </w:t>
      </w:r>
      <w:r>
        <w:t xml:space="preserve">Has dispensing stabilized sequentially, and how is Fire &amp; Safety demand developing in North America and Europe?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Tariffs and price/cost:</w:t>
      </w:r>
      <w:r>
        <w:t xml:space="preserve"> </w:t>
      </w:r>
      <w:r>
        <w:t xml:space="preserve">Has the tariff environment changed the company’s cost, pricing, supply-chain, or refund assumptions?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Full-year outlook:</w:t>
      </w:r>
      <w:r>
        <w:t xml:space="preserve"> </w:t>
      </w:r>
      <w:r>
        <w:t xml:space="preserve">What would need to happen for organic growth to exceed 4% or adjusted EPS to exceed $8.55?</w: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IDEX’s 2Q report is primarily a test of</w:t>
      </w:r>
      <w:r>
        <w:t xml:space="preserve"> </w:t>
      </w:r>
      <w:r>
        <w:rPr>
          <w:b/>
          <w:bCs/>
        </w:rPr>
        <w:t xml:space="preserve">follow-through</w:t>
      </w:r>
      <w:r>
        <w:t xml:space="preserve"> </w:t>
      </w:r>
      <w:r>
        <w:t xml:space="preserve">on a strong 1Q rather than a rescue quarter. The company has a credible secular-growth narrative and a favorable internal setup through HST, but the market will look for confirmation that the strength is broadening—particularly in FMT—and that margins in acquired platforms are improving as revenue scales.</w:t>
      </w:r>
    </w:p>
    <w:p>
      <w:pPr>
        <w:pStyle w:val="BodyText"/>
      </w:pPr>
      <w:r>
        <w:t xml:space="preserve">A clean result would feature 3%–4% or better organic growth, adjusted EPS at or above the top end of guidance, durable HST backlog commentary, stable-to-improving FMT trends, and preserved or higher full-year guidance. The key risk is that a premium valuation leaves little room for any evidence that HST momentum, industrial demand, or margins are fading.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2026-07-29T00:44:34Z</dcterms:created>
  <dcterms:modified xsi:type="dcterms:W3CDTF">2026-07-29T00:44:34Z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